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0980" w14:textId="77777777" w:rsidR="00835286" w:rsidRPr="00E51681" w:rsidRDefault="00835286" w:rsidP="000C39C2">
      <w:pPr>
        <w:spacing w:after="0" w:line="240" w:lineRule="auto"/>
        <w:rPr>
          <w:rFonts w:ascii="Times New Roman" w:eastAsia="Calibri" w:hAnsi="Times New Roman" w:cs="Times New Roman"/>
          <w:sz w:val="24"/>
          <w:szCs w:val="24"/>
        </w:rPr>
      </w:pPr>
    </w:p>
    <w:p w14:paraId="2BF99DCF" w14:textId="77777777" w:rsidR="000C39C2" w:rsidRPr="00E51681" w:rsidRDefault="000C39C2" w:rsidP="000C39C2">
      <w:pPr>
        <w:tabs>
          <w:tab w:val="left" w:pos="6724"/>
        </w:tabs>
        <w:spacing w:after="0" w:line="240" w:lineRule="auto"/>
        <w:jc w:val="right"/>
        <w:rPr>
          <w:rFonts w:ascii="Times New Roman" w:eastAsia="Calibri" w:hAnsi="Times New Roman" w:cs="Times New Roman"/>
          <w:b/>
          <w:sz w:val="24"/>
          <w:szCs w:val="24"/>
        </w:rPr>
      </w:pPr>
      <w:r w:rsidRPr="00E51681">
        <w:rPr>
          <w:rFonts w:ascii="Times New Roman" w:eastAsia="Calibri" w:hAnsi="Times New Roman" w:cs="Times New Roman"/>
          <w:sz w:val="24"/>
          <w:szCs w:val="24"/>
        </w:rPr>
        <w:tab/>
      </w:r>
      <w:r w:rsidRPr="00E51681">
        <w:rPr>
          <w:rFonts w:ascii="Times New Roman" w:eastAsia="Calibri" w:hAnsi="Times New Roman" w:cs="Times New Roman"/>
          <w:b/>
          <w:sz w:val="24"/>
          <w:szCs w:val="24"/>
        </w:rPr>
        <w:t>Apstiprināti</w:t>
      </w:r>
    </w:p>
    <w:p w14:paraId="2227C6FF" w14:textId="77777777" w:rsidR="000C39C2" w:rsidRPr="00E51681" w:rsidRDefault="000C39C2" w:rsidP="000C39C2">
      <w:pPr>
        <w:tabs>
          <w:tab w:val="left" w:pos="6724"/>
        </w:tabs>
        <w:spacing w:after="0" w:line="240" w:lineRule="auto"/>
        <w:jc w:val="right"/>
        <w:rPr>
          <w:rFonts w:ascii="Times New Roman" w:eastAsia="Calibri" w:hAnsi="Times New Roman" w:cs="Times New Roman"/>
          <w:sz w:val="24"/>
          <w:szCs w:val="24"/>
        </w:rPr>
      </w:pPr>
      <w:r w:rsidRPr="00E51681">
        <w:rPr>
          <w:rFonts w:ascii="Times New Roman" w:eastAsia="Calibri" w:hAnsi="Times New Roman" w:cs="Times New Roman"/>
          <w:sz w:val="24"/>
          <w:szCs w:val="24"/>
        </w:rPr>
        <w:t>ar Ķekavas novada domes</w:t>
      </w:r>
    </w:p>
    <w:p w14:paraId="6B09F256" w14:textId="1AF46082" w:rsidR="000C39C2" w:rsidRPr="00E51681" w:rsidRDefault="000C39C2" w:rsidP="000C39C2">
      <w:pPr>
        <w:tabs>
          <w:tab w:val="left" w:pos="6724"/>
        </w:tabs>
        <w:spacing w:after="0" w:line="240" w:lineRule="auto"/>
        <w:jc w:val="right"/>
        <w:rPr>
          <w:rFonts w:ascii="Times New Roman" w:eastAsia="Calibri" w:hAnsi="Times New Roman" w:cs="Times New Roman"/>
          <w:sz w:val="24"/>
          <w:szCs w:val="24"/>
        </w:rPr>
      </w:pPr>
      <w:r w:rsidRPr="00E51681">
        <w:rPr>
          <w:rFonts w:ascii="Times New Roman" w:eastAsia="Calibri" w:hAnsi="Times New Roman" w:cs="Times New Roman"/>
          <w:sz w:val="24"/>
          <w:szCs w:val="24"/>
        </w:rPr>
        <w:t>202</w:t>
      </w:r>
      <w:r w:rsidR="004B35B7" w:rsidRPr="00E51681">
        <w:rPr>
          <w:rFonts w:ascii="Times New Roman" w:eastAsia="Calibri" w:hAnsi="Times New Roman" w:cs="Times New Roman"/>
          <w:sz w:val="24"/>
          <w:szCs w:val="24"/>
        </w:rPr>
        <w:t>4</w:t>
      </w:r>
      <w:r w:rsidRPr="00E51681">
        <w:rPr>
          <w:rFonts w:ascii="Times New Roman" w:eastAsia="Calibri" w:hAnsi="Times New Roman" w:cs="Times New Roman"/>
          <w:sz w:val="24"/>
          <w:szCs w:val="24"/>
        </w:rPr>
        <w:t>.gada __.</w:t>
      </w:r>
      <w:r w:rsidR="004B35B7" w:rsidRPr="00E51681">
        <w:rPr>
          <w:rFonts w:ascii="Times New Roman" w:eastAsia="Calibri" w:hAnsi="Times New Roman" w:cs="Times New Roman"/>
          <w:sz w:val="24"/>
          <w:szCs w:val="24"/>
        </w:rPr>
        <w:t>______</w:t>
      </w:r>
      <w:r w:rsidRPr="00E51681">
        <w:rPr>
          <w:rFonts w:ascii="Times New Roman" w:eastAsia="Calibri" w:hAnsi="Times New Roman" w:cs="Times New Roman"/>
          <w:color w:val="FF0000"/>
          <w:sz w:val="24"/>
          <w:szCs w:val="24"/>
        </w:rPr>
        <w:t xml:space="preserve"> </w:t>
      </w:r>
      <w:r w:rsidRPr="00E51681">
        <w:rPr>
          <w:rFonts w:ascii="Times New Roman" w:eastAsia="Calibri" w:hAnsi="Times New Roman" w:cs="Times New Roman"/>
          <w:sz w:val="24"/>
          <w:szCs w:val="24"/>
        </w:rPr>
        <w:t>sēdes</w:t>
      </w:r>
    </w:p>
    <w:p w14:paraId="77A2B4F1" w14:textId="77777777" w:rsidR="000C39C2" w:rsidRPr="00E51681" w:rsidRDefault="000C39C2" w:rsidP="000C39C2">
      <w:pPr>
        <w:tabs>
          <w:tab w:val="left" w:pos="6724"/>
        </w:tabs>
        <w:spacing w:after="0" w:line="240" w:lineRule="auto"/>
        <w:jc w:val="right"/>
        <w:rPr>
          <w:rFonts w:ascii="Times New Roman" w:eastAsia="Calibri" w:hAnsi="Times New Roman" w:cs="Times New Roman"/>
          <w:sz w:val="24"/>
          <w:szCs w:val="24"/>
        </w:rPr>
      </w:pPr>
      <w:r w:rsidRPr="00E51681">
        <w:rPr>
          <w:rFonts w:ascii="Times New Roman" w:eastAsia="Calibri" w:hAnsi="Times New Roman" w:cs="Times New Roman"/>
          <w:sz w:val="24"/>
          <w:szCs w:val="24"/>
        </w:rPr>
        <w:t>lēmumu Nr.__ (protokols Nr.__.)</w:t>
      </w:r>
    </w:p>
    <w:p w14:paraId="38046A60" w14:textId="77777777" w:rsidR="000C39C2" w:rsidRPr="00E51681" w:rsidRDefault="000C39C2" w:rsidP="000C39C2">
      <w:pPr>
        <w:spacing w:after="0" w:line="240" w:lineRule="auto"/>
        <w:rPr>
          <w:rFonts w:ascii="Times New Roman" w:eastAsia="Calibri" w:hAnsi="Times New Roman" w:cs="Times New Roman"/>
          <w:sz w:val="24"/>
          <w:szCs w:val="24"/>
        </w:rPr>
      </w:pPr>
    </w:p>
    <w:p w14:paraId="1C71C336" w14:textId="77777777" w:rsidR="000C39C2" w:rsidRPr="00E51681" w:rsidRDefault="000C39C2" w:rsidP="000C39C2">
      <w:pPr>
        <w:spacing w:after="0" w:line="240" w:lineRule="auto"/>
        <w:jc w:val="center"/>
        <w:rPr>
          <w:rFonts w:ascii="Times New Roman" w:eastAsia="Calibri" w:hAnsi="Times New Roman" w:cs="Times New Roman"/>
          <w:b/>
          <w:sz w:val="24"/>
          <w:szCs w:val="24"/>
        </w:rPr>
      </w:pPr>
      <w:r w:rsidRPr="00E51681">
        <w:rPr>
          <w:rFonts w:ascii="Times New Roman" w:eastAsia="Calibri" w:hAnsi="Times New Roman" w:cs="Times New Roman"/>
          <w:b/>
          <w:sz w:val="24"/>
          <w:szCs w:val="24"/>
        </w:rPr>
        <w:t>Saistošie noteikumi Nr.____</w:t>
      </w:r>
    </w:p>
    <w:p w14:paraId="535ABC64" w14:textId="3912B49E" w:rsidR="000C39C2" w:rsidRPr="00E51681" w:rsidRDefault="007A3F3C" w:rsidP="000C39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azartspēļu organizēšanu</w:t>
      </w:r>
      <w:r w:rsidR="00C35887" w:rsidRPr="00C35887">
        <w:t xml:space="preserve"> </w:t>
      </w:r>
      <w:r w:rsidR="00C35887" w:rsidRPr="00C35887">
        <w:rPr>
          <w:rFonts w:ascii="Times New Roman" w:eastAsia="Calibri" w:hAnsi="Times New Roman" w:cs="Times New Roman"/>
          <w:b/>
          <w:sz w:val="24"/>
          <w:szCs w:val="24"/>
        </w:rPr>
        <w:t>Ķekavas novada administratīvajā teritorijā</w:t>
      </w:r>
    </w:p>
    <w:p w14:paraId="5AFA36FF" w14:textId="77777777" w:rsidR="000C39C2" w:rsidRPr="00E51681" w:rsidRDefault="000C39C2" w:rsidP="000C39C2">
      <w:pPr>
        <w:spacing w:after="0" w:line="240" w:lineRule="auto"/>
        <w:rPr>
          <w:rFonts w:ascii="Times New Roman" w:eastAsia="Calibri" w:hAnsi="Times New Roman" w:cs="Times New Roman"/>
          <w:sz w:val="24"/>
          <w:szCs w:val="24"/>
          <w:highlight w:val="yellow"/>
        </w:rPr>
      </w:pPr>
      <w:r w:rsidRPr="00E51681">
        <w:rPr>
          <w:rFonts w:ascii="Times New Roman" w:eastAsia="Calibri" w:hAnsi="Times New Roman" w:cs="Times New Roman"/>
          <w:sz w:val="24"/>
          <w:szCs w:val="24"/>
        </w:rPr>
        <w:tab/>
      </w:r>
      <w:r w:rsidRPr="00E51681">
        <w:rPr>
          <w:rFonts w:ascii="Times New Roman" w:eastAsia="Calibri" w:hAnsi="Times New Roman" w:cs="Times New Roman"/>
          <w:sz w:val="24"/>
          <w:szCs w:val="24"/>
        </w:rPr>
        <w:tab/>
      </w:r>
    </w:p>
    <w:p w14:paraId="5E15FC24" w14:textId="77777777" w:rsidR="007A3F3C" w:rsidRPr="007A3F3C" w:rsidRDefault="000C39C2" w:rsidP="007A3F3C">
      <w:pPr>
        <w:spacing w:after="0" w:line="240" w:lineRule="auto"/>
        <w:jc w:val="right"/>
        <w:rPr>
          <w:rFonts w:ascii="Times New Roman" w:hAnsi="Times New Roman" w:cs="Times New Roman"/>
          <w:i/>
          <w:sz w:val="24"/>
          <w:szCs w:val="24"/>
          <w:lang w:eastAsia="lv-LV"/>
        </w:rPr>
      </w:pPr>
      <w:r w:rsidRPr="00E51681">
        <w:rPr>
          <w:rFonts w:ascii="Times New Roman" w:eastAsia="Calibri" w:hAnsi="Times New Roman" w:cs="Times New Roman"/>
          <w:sz w:val="24"/>
          <w:szCs w:val="24"/>
        </w:rPr>
        <w:tab/>
      </w:r>
      <w:r w:rsidR="007A3F3C" w:rsidRPr="007A3F3C">
        <w:rPr>
          <w:rFonts w:ascii="Times New Roman" w:hAnsi="Times New Roman" w:cs="Times New Roman"/>
          <w:i/>
          <w:sz w:val="24"/>
          <w:szCs w:val="24"/>
          <w:lang w:eastAsia="lv-LV"/>
        </w:rPr>
        <w:t>Izdoti saskaņā ar Azartspēļu un izložu likuma</w:t>
      </w:r>
    </w:p>
    <w:p w14:paraId="76E2F961" w14:textId="0C76EC30" w:rsidR="000C39C2" w:rsidRDefault="007A3F3C" w:rsidP="007A3F3C">
      <w:pPr>
        <w:spacing w:after="0" w:line="240" w:lineRule="auto"/>
        <w:jc w:val="right"/>
        <w:rPr>
          <w:rFonts w:ascii="Times New Roman" w:hAnsi="Times New Roman" w:cs="Times New Roman"/>
          <w:i/>
          <w:sz w:val="24"/>
          <w:szCs w:val="24"/>
          <w:lang w:eastAsia="lv-LV"/>
        </w:rPr>
      </w:pPr>
      <w:r w:rsidRPr="007A3F3C">
        <w:rPr>
          <w:rFonts w:ascii="Times New Roman" w:hAnsi="Times New Roman" w:cs="Times New Roman"/>
          <w:i/>
          <w:sz w:val="24"/>
          <w:szCs w:val="24"/>
          <w:lang w:eastAsia="lv-LV"/>
        </w:rPr>
        <w:t>42. panta desmito daļu</w:t>
      </w:r>
    </w:p>
    <w:p w14:paraId="115E05D8" w14:textId="77777777" w:rsidR="007A3F3C" w:rsidRPr="00E51681" w:rsidRDefault="007A3F3C" w:rsidP="007A3F3C">
      <w:pPr>
        <w:spacing w:after="0" w:line="240" w:lineRule="auto"/>
        <w:jc w:val="right"/>
        <w:rPr>
          <w:i/>
          <w:color w:val="000000"/>
          <w:szCs w:val="24"/>
        </w:rPr>
      </w:pPr>
    </w:p>
    <w:p w14:paraId="7AF24EAD" w14:textId="1560B135" w:rsidR="007A3F3C" w:rsidRPr="007A3F3C" w:rsidRDefault="000C39C2" w:rsidP="007A3F3C">
      <w:pPr>
        <w:pStyle w:val="BodyTextIndent"/>
        <w:tabs>
          <w:tab w:val="left" w:pos="900"/>
        </w:tabs>
        <w:spacing w:after="0"/>
        <w:jc w:val="both"/>
        <w:rPr>
          <w:szCs w:val="24"/>
        </w:rPr>
      </w:pPr>
      <w:r w:rsidRPr="00E51681">
        <w:rPr>
          <w:szCs w:val="24"/>
        </w:rPr>
        <w:tab/>
      </w:r>
      <w:r w:rsidR="007A3F3C" w:rsidRPr="007A3F3C">
        <w:rPr>
          <w:szCs w:val="24"/>
        </w:rPr>
        <w:t xml:space="preserve">1. Saistošie noteikumi nosaka vietas un teritorijas, kurās </w:t>
      </w:r>
      <w:r w:rsidR="007A3F3C">
        <w:rPr>
          <w:szCs w:val="24"/>
        </w:rPr>
        <w:t>Ķekavas</w:t>
      </w:r>
      <w:r w:rsidR="007A3F3C" w:rsidRPr="007A3F3C">
        <w:rPr>
          <w:szCs w:val="24"/>
        </w:rPr>
        <w:t xml:space="preserve"> novada administratīvajā teritorijā nav atļauts organizēt azartspēles.</w:t>
      </w:r>
    </w:p>
    <w:p w14:paraId="3CC130FE" w14:textId="77777777" w:rsidR="007A3F3C" w:rsidRPr="007A3F3C" w:rsidRDefault="007A3F3C" w:rsidP="007A3F3C">
      <w:pPr>
        <w:pStyle w:val="BodyTextIndent"/>
        <w:tabs>
          <w:tab w:val="left" w:pos="900"/>
        </w:tabs>
        <w:spacing w:after="0"/>
        <w:jc w:val="both"/>
        <w:rPr>
          <w:szCs w:val="24"/>
        </w:rPr>
      </w:pPr>
    </w:p>
    <w:p w14:paraId="5A815AB6" w14:textId="397B08A9" w:rsidR="007A3F3C" w:rsidRPr="007A3F3C" w:rsidRDefault="007A3F3C" w:rsidP="007A3F3C">
      <w:pPr>
        <w:pStyle w:val="BodyTextIndent"/>
        <w:tabs>
          <w:tab w:val="left" w:pos="900"/>
        </w:tabs>
        <w:spacing w:after="0"/>
        <w:jc w:val="both"/>
        <w:rPr>
          <w:szCs w:val="24"/>
        </w:rPr>
      </w:pPr>
      <w:r>
        <w:rPr>
          <w:szCs w:val="24"/>
        </w:rPr>
        <w:tab/>
      </w:r>
      <w:r w:rsidRPr="007A3F3C">
        <w:rPr>
          <w:szCs w:val="24"/>
        </w:rPr>
        <w:t xml:space="preserve">2. </w:t>
      </w:r>
      <w:r>
        <w:rPr>
          <w:szCs w:val="24"/>
        </w:rPr>
        <w:t>Ķekavas</w:t>
      </w:r>
      <w:r w:rsidRPr="007A3F3C">
        <w:rPr>
          <w:szCs w:val="24"/>
        </w:rPr>
        <w:t xml:space="preserve"> novada administratīvajā teritorijā ir aizliegts organizēt azartspēles.</w:t>
      </w:r>
    </w:p>
    <w:p w14:paraId="2F81DB2C" w14:textId="77777777" w:rsidR="007A3F3C" w:rsidRPr="007A3F3C" w:rsidRDefault="007A3F3C" w:rsidP="007A3F3C">
      <w:pPr>
        <w:pStyle w:val="BodyTextIndent"/>
        <w:tabs>
          <w:tab w:val="left" w:pos="900"/>
        </w:tabs>
        <w:spacing w:after="0"/>
        <w:jc w:val="both"/>
        <w:rPr>
          <w:szCs w:val="24"/>
        </w:rPr>
      </w:pPr>
    </w:p>
    <w:p w14:paraId="23C205C5" w14:textId="1B483186" w:rsidR="007A3F3C" w:rsidRPr="007A3F3C" w:rsidRDefault="007A3F3C" w:rsidP="007A3F3C">
      <w:pPr>
        <w:pStyle w:val="BodyTextIndent"/>
        <w:tabs>
          <w:tab w:val="left" w:pos="900"/>
        </w:tabs>
        <w:spacing w:after="0"/>
        <w:jc w:val="both"/>
        <w:rPr>
          <w:szCs w:val="24"/>
        </w:rPr>
      </w:pPr>
      <w:r>
        <w:rPr>
          <w:szCs w:val="24"/>
        </w:rPr>
        <w:tab/>
      </w:r>
      <w:r w:rsidRPr="007A3F3C">
        <w:rPr>
          <w:szCs w:val="24"/>
        </w:rPr>
        <w:t xml:space="preserve">3. </w:t>
      </w:r>
      <w:r w:rsidR="00711448">
        <w:rPr>
          <w:szCs w:val="24"/>
        </w:rPr>
        <w:t>Saistošo n</w:t>
      </w:r>
      <w:r w:rsidR="00711448" w:rsidRPr="00711448">
        <w:rPr>
          <w:szCs w:val="24"/>
        </w:rPr>
        <w:t xml:space="preserve">oteikumu 2. punkta noteikumi neattiecas uz gadījumiem, kur līdz </w:t>
      </w:r>
      <w:r w:rsidR="00711448">
        <w:rPr>
          <w:szCs w:val="24"/>
        </w:rPr>
        <w:t xml:space="preserve">saistošo </w:t>
      </w:r>
      <w:r w:rsidR="00711448" w:rsidRPr="00711448">
        <w:rPr>
          <w:szCs w:val="24"/>
        </w:rPr>
        <w:t>noteikumu spēkā stāšanās brīdim ir izsniegta azartspēļu organizēšanas vietas licence vai citos normatīvajos tiesību aktos ir atļauts organizēt azartspēles</w:t>
      </w:r>
      <w:r w:rsidR="00711448">
        <w:rPr>
          <w:szCs w:val="24"/>
        </w:rPr>
        <w:t>.</w:t>
      </w:r>
    </w:p>
    <w:p w14:paraId="656427C9" w14:textId="77777777" w:rsidR="007A3F3C" w:rsidRPr="007A3F3C" w:rsidRDefault="007A3F3C" w:rsidP="007A3F3C">
      <w:pPr>
        <w:pStyle w:val="BodyTextIndent"/>
        <w:tabs>
          <w:tab w:val="left" w:pos="900"/>
        </w:tabs>
        <w:spacing w:after="0"/>
        <w:jc w:val="both"/>
        <w:rPr>
          <w:szCs w:val="24"/>
        </w:rPr>
      </w:pPr>
    </w:p>
    <w:p w14:paraId="671FDF1D" w14:textId="77777777" w:rsidR="00F03816" w:rsidRDefault="00F03816" w:rsidP="004756C3">
      <w:pPr>
        <w:pStyle w:val="BodyTextIndent"/>
        <w:spacing w:after="0"/>
        <w:ind w:left="709" w:right="-1"/>
        <w:jc w:val="both"/>
        <w:rPr>
          <w:i/>
          <w:iCs/>
          <w:szCs w:val="24"/>
        </w:rPr>
      </w:pPr>
    </w:p>
    <w:p w14:paraId="5F25117C" w14:textId="77777777" w:rsidR="00C04640" w:rsidRPr="00E51681" w:rsidRDefault="00C04640" w:rsidP="00007A38">
      <w:pPr>
        <w:pStyle w:val="BodyTextIndent"/>
        <w:tabs>
          <w:tab w:val="left" w:pos="0"/>
        </w:tabs>
        <w:spacing w:after="0"/>
        <w:ind w:left="0" w:right="-1"/>
        <w:jc w:val="both"/>
        <w:rPr>
          <w:szCs w:val="24"/>
        </w:rPr>
      </w:pPr>
    </w:p>
    <w:p w14:paraId="3C5E98EB" w14:textId="68C2C3D3" w:rsidR="00E454FE" w:rsidRPr="00FD0141" w:rsidRDefault="000C39C2" w:rsidP="00FD0141">
      <w:pPr>
        <w:tabs>
          <w:tab w:val="left" w:pos="6630"/>
        </w:tabs>
        <w:spacing w:after="0" w:line="240" w:lineRule="auto"/>
        <w:jc w:val="both"/>
        <w:rPr>
          <w:rFonts w:ascii="Times New Roman" w:eastAsia="Calibri" w:hAnsi="Times New Roman" w:cs="Times New Roman"/>
          <w:sz w:val="24"/>
          <w:szCs w:val="24"/>
        </w:rPr>
      </w:pPr>
      <w:r w:rsidRPr="00E51681">
        <w:rPr>
          <w:rFonts w:ascii="Times New Roman" w:eastAsia="Calibri" w:hAnsi="Times New Roman" w:cs="Times New Roman"/>
          <w:sz w:val="24"/>
          <w:szCs w:val="24"/>
        </w:rPr>
        <w:t xml:space="preserve">Domes priekšsēdētājs:                      (PARAKSTS*)                                                     </w:t>
      </w:r>
      <w:proofErr w:type="spellStart"/>
      <w:r w:rsidRPr="00E51681">
        <w:rPr>
          <w:rFonts w:ascii="Times New Roman" w:eastAsia="Calibri" w:hAnsi="Times New Roman" w:cs="Times New Roman"/>
          <w:sz w:val="24"/>
          <w:szCs w:val="24"/>
        </w:rPr>
        <w:t>J.Žilko</w:t>
      </w:r>
      <w:proofErr w:type="spellEnd"/>
    </w:p>
    <w:p w14:paraId="50264B14" w14:textId="77777777" w:rsidR="000C39C2" w:rsidRPr="00E51681" w:rsidRDefault="000C39C2" w:rsidP="000C39C2">
      <w:pPr>
        <w:spacing w:after="0" w:line="240" w:lineRule="auto"/>
        <w:rPr>
          <w:rFonts w:ascii="Times New Roman" w:eastAsia="Calibri" w:hAnsi="Times New Roman" w:cs="Times New Roman"/>
          <w:b/>
          <w:sz w:val="24"/>
          <w:szCs w:val="24"/>
        </w:rPr>
      </w:pPr>
    </w:p>
    <w:p w14:paraId="6DDFCCA5" w14:textId="77777777" w:rsidR="00C60216" w:rsidRDefault="00C60216" w:rsidP="000C39C2">
      <w:pPr>
        <w:spacing w:after="0" w:line="240" w:lineRule="auto"/>
        <w:jc w:val="center"/>
        <w:rPr>
          <w:rFonts w:ascii="Times New Roman" w:eastAsia="Calibri" w:hAnsi="Times New Roman" w:cs="Times New Roman"/>
          <w:b/>
          <w:sz w:val="24"/>
          <w:szCs w:val="24"/>
        </w:rPr>
      </w:pPr>
    </w:p>
    <w:p w14:paraId="1F103CF5" w14:textId="77777777" w:rsidR="00711448" w:rsidRDefault="0071144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81B1A0D" w14:textId="3BA0B36D" w:rsidR="000C39C2" w:rsidRPr="00E51681" w:rsidRDefault="000C39C2" w:rsidP="000C39C2">
      <w:pPr>
        <w:spacing w:after="0" w:line="240" w:lineRule="auto"/>
        <w:jc w:val="center"/>
        <w:rPr>
          <w:rFonts w:ascii="Times New Roman" w:eastAsia="Calibri" w:hAnsi="Times New Roman" w:cs="Times New Roman"/>
          <w:b/>
          <w:sz w:val="24"/>
          <w:szCs w:val="24"/>
        </w:rPr>
      </w:pPr>
      <w:r w:rsidRPr="00E51681">
        <w:rPr>
          <w:rFonts w:ascii="Times New Roman" w:eastAsia="Calibri" w:hAnsi="Times New Roman" w:cs="Times New Roman"/>
          <w:b/>
          <w:sz w:val="24"/>
          <w:szCs w:val="24"/>
        </w:rPr>
        <w:lastRenderedPageBreak/>
        <w:t>Saistošo noteikumu</w:t>
      </w:r>
      <w:r w:rsidR="002F1851" w:rsidRPr="00E51681">
        <w:rPr>
          <w:rFonts w:ascii="Times New Roman" w:eastAsia="Calibri" w:hAnsi="Times New Roman" w:cs="Times New Roman"/>
          <w:b/>
          <w:sz w:val="24"/>
          <w:szCs w:val="24"/>
        </w:rPr>
        <w:t xml:space="preserve"> </w:t>
      </w:r>
      <w:r w:rsidR="002F1851" w:rsidRPr="00E51681">
        <w:rPr>
          <w:rFonts w:ascii="Times New Roman" w:hAnsi="Times New Roman" w:cs="Times New Roman"/>
          <w:b/>
          <w:sz w:val="24"/>
          <w:szCs w:val="24"/>
        </w:rPr>
        <w:t>Nr. ___/202</w:t>
      </w:r>
      <w:r w:rsidR="000E07A3" w:rsidRPr="00E51681">
        <w:rPr>
          <w:rFonts w:ascii="Times New Roman" w:hAnsi="Times New Roman" w:cs="Times New Roman"/>
          <w:b/>
          <w:sz w:val="24"/>
          <w:szCs w:val="24"/>
        </w:rPr>
        <w:t>4</w:t>
      </w:r>
    </w:p>
    <w:p w14:paraId="72C3521D" w14:textId="34106601" w:rsidR="000C39C2" w:rsidRPr="00E51681" w:rsidRDefault="000C39C2" w:rsidP="000C39C2">
      <w:pPr>
        <w:spacing w:after="0" w:line="240" w:lineRule="auto"/>
        <w:jc w:val="center"/>
        <w:rPr>
          <w:rFonts w:ascii="Times New Roman" w:eastAsia="Calibri" w:hAnsi="Times New Roman" w:cs="Times New Roman"/>
          <w:b/>
          <w:sz w:val="24"/>
          <w:szCs w:val="24"/>
        </w:rPr>
      </w:pPr>
      <w:r w:rsidRPr="00E51681">
        <w:rPr>
          <w:rFonts w:ascii="Times New Roman" w:eastAsia="Calibri" w:hAnsi="Times New Roman" w:cs="Times New Roman"/>
          <w:b/>
          <w:sz w:val="24"/>
          <w:szCs w:val="24"/>
        </w:rPr>
        <w:t>“</w:t>
      </w:r>
      <w:r w:rsidR="007A3F3C">
        <w:rPr>
          <w:rFonts w:ascii="Times New Roman" w:eastAsia="Calibri" w:hAnsi="Times New Roman" w:cs="Times New Roman"/>
          <w:b/>
          <w:sz w:val="24"/>
          <w:szCs w:val="24"/>
        </w:rPr>
        <w:t>Par azartspēļu organizēšanu</w:t>
      </w:r>
      <w:r w:rsidR="00C35887" w:rsidRPr="00C35887">
        <w:t xml:space="preserve"> </w:t>
      </w:r>
      <w:r w:rsidR="00C35887" w:rsidRPr="00C35887">
        <w:rPr>
          <w:rFonts w:ascii="Times New Roman" w:eastAsia="Calibri" w:hAnsi="Times New Roman" w:cs="Times New Roman"/>
          <w:b/>
          <w:sz w:val="24"/>
          <w:szCs w:val="24"/>
        </w:rPr>
        <w:t>Ķekavas novada administratīvajā teritorijā</w:t>
      </w:r>
      <w:r w:rsidRPr="00E51681">
        <w:rPr>
          <w:rFonts w:ascii="Times New Roman" w:eastAsia="Calibri" w:hAnsi="Times New Roman" w:cs="Times New Roman"/>
          <w:b/>
          <w:sz w:val="24"/>
          <w:szCs w:val="24"/>
        </w:rPr>
        <w:t>”</w:t>
      </w:r>
    </w:p>
    <w:p w14:paraId="4A322A3B" w14:textId="77777777" w:rsidR="000C39C2" w:rsidRPr="00E51681" w:rsidRDefault="000C39C2" w:rsidP="000C39C2">
      <w:pPr>
        <w:spacing w:after="0" w:line="240" w:lineRule="auto"/>
        <w:jc w:val="center"/>
        <w:rPr>
          <w:rFonts w:ascii="Times New Roman" w:eastAsia="Calibri" w:hAnsi="Times New Roman" w:cs="Times New Roman"/>
          <w:b/>
          <w:sz w:val="24"/>
          <w:szCs w:val="24"/>
        </w:rPr>
      </w:pPr>
      <w:r w:rsidRPr="00E51681">
        <w:rPr>
          <w:rFonts w:ascii="Times New Roman" w:eastAsia="Calibri" w:hAnsi="Times New Roman" w:cs="Times New Roman"/>
          <w:b/>
          <w:sz w:val="24"/>
          <w:szCs w:val="24"/>
        </w:rPr>
        <w:t>paskaidrojuma raksts</w:t>
      </w:r>
    </w:p>
    <w:p w14:paraId="018AF17A" w14:textId="77777777" w:rsidR="000C39C2" w:rsidRPr="00E51681" w:rsidRDefault="000C39C2" w:rsidP="000C39C2">
      <w:pPr>
        <w:spacing w:after="0" w:line="240" w:lineRule="auto"/>
        <w:jc w:val="center"/>
        <w:rPr>
          <w:rFonts w:ascii="Times New Roman" w:eastAsia="Calibri"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5812"/>
      </w:tblGrid>
      <w:tr w:rsidR="000C39C2" w:rsidRPr="00E51681" w14:paraId="677D3290" w14:textId="77777777" w:rsidTr="00D66BE7">
        <w:trPr>
          <w:tblCellSpacing w:w="15" w:type="dxa"/>
        </w:trPr>
        <w:tc>
          <w:tcPr>
            <w:tcW w:w="1864" w:type="pct"/>
            <w:tcBorders>
              <w:top w:val="outset" w:sz="6" w:space="0" w:color="auto"/>
              <w:left w:val="outset" w:sz="6" w:space="0" w:color="auto"/>
              <w:bottom w:val="outset" w:sz="6" w:space="0" w:color="auto"/>
              <w:right w:val="outset" w:sz="6" w:space="0" w:color="auto"/>
            </w:tcBorders>
            <w:vAlign w:val="center"/>
            <w:hideMark/>
          </w:tcPr>
          <w:p w14:paraId="4A5E9934" w14:textId="77777777" w:rsidR="000C39C2" w:rsidRPr="00E51681" w:rsidRDefault="000C39C2" w:rsidP="00AB36DD">
            <w:pPr>
              <w:spacing w:before="100" w:beforeAutospacing="1" w:after="100" w:afterAutospacing="1" w:line="360" w:lineRule="auto"/>
              <w:ind w:firstLine="300"/>
              <w:rPr>
                <w:rFonts w:ascii="Times New Roman" w:hAnsi="Times New Roman" w:cs="Times New Roman"/>
                <w:b/>
                <w:bCs/>
                <w:sz w:val="24"/>
                <w:szCs w:val="24"/>
                <w:lang w:eastAsia="lv-LV"/>
              </w:rPr>
            </w:pPr>
            <w:r w:rsidRPr="00E51681">
              <w:rPr>
                <w:rFonts w:ascii="Times New Roman" w:hAnsi="Times New Roman" w:cs="Times New Roman"/>
                <w:b/>
                <w:bCs/>
                <w:sz w:val="24"/>
                <w:szCs w:val="24"/>
                <w:lang w:eastAsia="lv-LV"/>
              </w:rPr>
              <w:t>Paskaidrojuma raksta sadaļa</w:t>
            </w:r>
          </w:p>
        </w:tc>
        <w:tc>
          <w:tcPr>
            <w:tcW w:w="3088" w:type="pct"/>
            <w:tcBorders>
              <w:top w:val="outset" w:sz="6" w:space="0" w:color="auto"/>
              <w:left w:val="outset" w:sz="6" w:space="0" w:color="auto"/>
              <w:bottom w:val="outset" w:sz="6" w:space="0" w:color="auto"/>
              <w:right w:val="outset" w:sz="6" w:space="0" w:color="auto"/>
            </w:tcBorders>
            <w:vAlign w:val="center"/>
            <w:hideMark/>
          </w:tcPr>
          <w:p w14:paraId="2A284F76" w14:textId="77777777" w:rsidR="000C39C2" w:rsidRPr="00E51681" w:rsidRDefault="000C39C2" w:rsidP="00AB36DD">
            <w:pPr>
              <w:spacing w:before="100" w:beforeAutospacing="1" w:after="100" w:afterAutospacing="1" w:line="360" w:lineRule="auto"/>
              <w:ind w:firstLine="300"/>
              <w:rPr>
                <w:rFonts w:ascii="Times New Roman" w:hAnsi="Times New Roman" w:cs="Times New Roman"/>
                <w:b/>
                <w:bCs/>
                <w:sz w:val="24"/>
                <w:szCs w:val="24"/>
                <w:lang w:eastAsia="lv-LV"/>
              </w:rPr>
            </w:pPr>
            <w:r w:rsidRPr="00E51681">
              <w:rPr>
                <w:rFonts w:ascii="Times New Roman" w:hAnsi="Times New Roman" w:cs="Times New Roman"/>
                <w:b/>
                <w:bCs/>
                <w:sz w:val="24"/>
                <w:szCs w:val="24"/>
                <w:lang w:eastAsia="lv-LV"/>
              </w:rPr>
              <w:t>Norādāmā informācija</w:t>
            </w:r>
          </w:p>
        </w:tc>
      </w:tr>
      <w:tr w:rsidR="000C39C2" w:rsidRPr="00E51681" w14:paraId="07AB9698" w14:textId="77777777" w:rsidTr="00D66BE7">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4909B034" w14:textId="77777777" w:rsidR="000C39C2" w:rsidRPr="00E51681" w:rsidRDefault="000C39C2" w:rsidP="00AB36DD">
            <w:pPr>
              <w:numPr>
                <w:ilvl w:val="0"/>
                <w:numId w:val="1"/>
              </w:numPr>
              <w:tabs>
                <w:tab w:val="left" w:pos="426"/>
              </w:tabs>
              <w:spacing w:after="0" w:line="240" w:lineRule="auto"/>
              <w:ind w:left="142"/>
              <w:jc w:val="both"/>
              <w:rPr>
                <w:rFonts w:ascii="Times New Roman" w:hAnsi="Times New Roman" w:cs="Times New Roman"/>
                <w:sz w:val="24"/>
                <w:szCs w:val="24"/>
                <w:lang w:eastAsia="lv-LV"/>
              </w:rPr>
            </w:pPr>
            <w:r w:rsidRPr="00E51681">
              <w:rPr>
                <w:rFonts w:ascii="Times New Roman" w:hAnsi="Times New Roman" w:cs="Times New Roman"/>
                <w:sz w:val="24"/>
                <w:szCs w:val="24"/>
                <w:lang w:eastAsia="lv-LV"/>
              </w:rPr>
              <w:t xml:space="preserve"> 1.</w:t>
            </w:r>
            <w:r w:rsidRPr="00E51681">
              <w:rPr>
                <w:rFonts w:ascii="Times New Roman" w:hAnsi="Times New Roman" w:cs="Times New Roman"/>
                <w:sz w:val="24"/>
                <w:szCs w:val="24"/>
              </w:rPr>
              <w:t xml:space="preserve"> </w:t>
            </w:r>
            <w:r w:rsidRPr="00E51681">
              <w:rPr>
                <w:rFonts w:ascii="Times New Roman" w:hAnsi="Times New Roman" w:cs="Times New Roman"/>
                <w:sz w:val="24"/>
                <w:szCs w:val="24"/>
                <w:lang w:eastAsia="lv-LV"/>
              </w:rPr>
              <w:t>Mērķis un nepieciešamības  pamatojums</w:t>
            </w:r>
          </w:p>
        </w:tc>
        <w:tc>
          <w:tcPr>
            <w:tcW w:w="3088" w:type="pct"/>
            <w:tcBorders>
              <w:top w:val="outset" w:sz="6" w:space="0" w:color="auto"/>
              <w:left w:val="outset" w:sz="6" w:space="0" w:color="auto"/>
              <w:bottom w:val="outset" w:sz="6" w:space="0" w:color="auto"/>
              <w:right w:val="outset" w:sz="6" w:space="0" w:color="auto"/>
            </w:tcBorders>
            <w:hideMark/>
          </w:tcPr>
          <w:p w14:paraId="1BD46CD7" w14:textId="77777777" w:rsidR="000C39C2" w:rsidRDefault="00F94563" w:rsidP="00F94563">
            <w:pPr>
              <w:rPr>
                <w:rFonts w:ascii="Times New Roman" w:eastAsia="SimSun" w:hAnsi="Times New Roman" w:cs="Times New Roman"/>
                <w:sz w:val="24"/>
                <w:szCs w:val="24"/>
                <w:shd w:val="clear" w:color="auto" w:fill="FFFFFF"/>
              </w:rPr>
            </w:pPr>
            <w:r w:rsidRPr="00F94563">
              <w:rPr>
                <w:rFonts w:ascii="Times New Roman" w:eastAsia="SimSun" w:hAnsi="Times New Roman" w:cs="Times New Roman"/>
                <w:sz w:val="24"/>
                <w:szCs w:val="24"/>
                <w:shd w:val="clear" w:color="auto" w:fill="FFFFFF"/>
              </w:rPr>
              <w:t>Saistošo noteikumu mērķis ir mazināt azartspēļu atkarības rašanās risku.</w:t>
            </w:r>
          </w:p>
          <w:p w14:paraId="615B1A68" w14:textId="648F3A88" w:rsidR="000F7554" w:rsidRPr="000F755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t>Veselības ministrija 2019. gadā publicējusi pētījuma "Pētījums par procesu atkarību (azartspēļu, sociālo mediju, datorspēļu atkarība) izplatību Latvijas iedzīvotāju vidū un to ietekmējošiem riska faktoriem" gala ziņojumu</w:t>
            </w:r>
            <w:r>
              <w:rPr>
                <w:rStyle w:val="FootnoteReference"/>
                <w:rFonts w:ascii="Times New Roman" w:eastAsia="SimSun" w:hAnsi="Times New Roman" w:cs="Times New Roman"/>
                <w:sz w:val="24"/>
                <w:szCs w:val="24"/>
                <w:shd w:val="clear" w:color="auto" w:fill="FFFFFF"/>
              </w:rPr>
              <w:footnoteReference w:id="1"/>
            </w:r>
            <w:r w:rsidRPr="000F7554">
              <w:rPr>
                <w:rFonts w:ascii="Times New Roman" w:eastAsia="SimSun" w:hAnsi="Times New Roman" w:cs="Times New Roman"/>
                <w:sz w:val="24"/>
                <w:szCs w:val="24"/>
                <w:shd w:val="clear" w:color="auto" w:fill="FFFFFF"/>
              </w:rPr>
              <w:t xml:space="preserve"> (turpmāk - Pētījums).</w:t>
            </w:r>
          </w:p>
          <w:p w14:paraId="0C935112" w14:textId="4F9A25FB" w:rsidR="000F7554" w:rsidRPr="000F755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t>Pētījumā konstatēts, ka Latvijā no azartspēlēm dažādā pakāpē varētu ciest 79 119 personas 15-64 gadu vecumā, no tām 16 162 problēmas ir smagākajā pakāpē</w:t>
            </w:r>
            <w:r>
              <w:rPr>
                <w:rStyle w:val="FootnoteReference"/>
                <w:rFonts w:ascii="Times New Roman" w:eastAsia="SimSun" w:hAnsi="Times New Roman" w:cs="Times New Roman"/>
                <w:sz w:val="24"/>
                <w:szCs w:val="24"/>
                <w:shd w:val="clear" w:color="auto" w:fill="FFFFFF"/>
              </w:rPr>
              <w:footnoteReference w:id="2"/>
            </w:r>
            <w:r w:rsidRPr="000F7554">
              <w:rPr>
                <w:rFonts w:ascii="Times New Roman" w:eastAsia="SimSun" w:hAnsi="Times New Roman" w:cs="Times New Roman"/>
                <w:sz w:val="24"/>
                <w:szCs w:val="24"/>
                <w:shd w:val="clear" w:color="auto" w:fill="FFFFFF"/>
              </w:rPr>
              <w:t>.</w:t>
            </w:r>
          </w:p>
          <w:p w14:paraId="0A99C48F" w14:textId="156C7FEB" w:rsidR="000F7554" w:rsidRPr="000F755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t>Pētījumā secināts, ka viens no efektīvākajiem pasākumiem spēlēšanas ierobežošanai gan starptautiskajā pieredzē, gan ekspertu un pašu spēlētāju perspektīvā ir pieejamības mazināšan</w:t>
            </w:r>
            <w:r>
              <w:rPr>
                <w:rFonts w:ascii="Times New Roman" w:eastAsia="SimSun" w:hAnsi="Times New Roman" w:cs="Times New Roman"/>
                <w:sz w:val="24"/>
                <w:szCs w:val="24"/>
                <w:shd w:val="clear" w:color="auto" w:fill="FFFFFF"/>
              </w:rPr>
              <w:t>a</w:t>
            </w:r>
            <w:r>
              <w:rPr>
                <w:rStyle w:val="FootnoteReference"/>
                <w:rFonts w:ascii="Times New Roman" w:eastAsia="SimSun" w:hAnsi="Times New Roman" w:cs="Times New Roman"/>
                <w:sz w:val="24"/>
                <w:szCs w:val="24"/>
                <w:shd w:val="clear" w:color="auto" w:fill="FFFFFF"/>
              </w:rPr>
              <w:footnoteReference w:id="3"/>
            </w:r>
            <w:r w:rsidRPr="000F7554">
              <w:rPr>
                <w:rFonts w:ascii="Times New Roman" w:eastAsia="SimSun" w:hAnsi="Times New Roman" w:cs="Times New Roman"/>
                <w:sz w:val="24"/>
                <w:szCs w:val="24"/>
                <w:shd w:val="clear" w:color="auto" w:fill="FFFFFF"/>
              </w:rPr>
              <w:t>.</w:t>
            </w:r>
          </w:p>
          <w:p w14:paraId="1A4B5A1E" w14:textId="1B6A9F61" w:rsidR="000F7554" w:rsidRPr="000F755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t>Pētījumā konstatēts, ka spēlētāji ar problēmām norāda, ka spēļu zāļu tīkli atrodas tik tuvu mājām, ka nav iespējams izvairīties no vizuāla kontakta</w:t>
            </w:r>
            <w:r>
              <w:rPr>
                <w:rStyle w:val="FootnoteReference"/>
                <w:rFonts w:ascii="Times New Roman" w:eastAsia="SimSun" w:hAnsi="Times New Roman" w:cs="Times New Roman"/>
                <w:sz w:val="24"/>
                <w:szCs w:val="24"/>
                <w:shd w:val="clear" w:color="auto" w:fill="FFFFFF"/>
              </w:rPr>
              <w:footnoteReference w:id="4"/>
            </w:r>
            <w:r w:rsidRPr="000F7554">
              <w:rPr>
                <w:rFonts w:ascii="Times New Roman" w:eastAsia="SimSun" w:hAnsi="Times New Roman" w:cs="Times New Roman"/>
                <w:sz w:val="24"/>
                <w:szCs w:val="24"/>
                <w:shd w:val="clear" w:color="auto" w:fill="FFFFFF"/>
              </w:rPr>
              <w:t>.</w:t>
            </w:r>
          </w:p>
          <w:p w14:paraId="6F0DD2BF" w14:textId="110C2EB6" w:rsidR="000F7554" w:rsidRPr="000F755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t>Ministru kabineta 2021. gada 14. jūlija rīkojumā Nr. 509 "Par Azartspēļu un izložu politikas pamatnostādnēm 2021.-2027. gadam" (turpmāk - Pamatnostādnes) norādīts, ka pētījumi ir apliecinājuši, ka azartspēļu norises vietu attālumam līdz iedzīvotāju dzīves vietai ir statistiski nozīmīga saikne ar paredzamo problemātisko paradumu izplatību pieaugušo populācijā. Iedzīvotājiem, kuri dzīvo 16 km rādiusā no spēļu zālēm vai kazino, pastāv divas reizes augstāks problemātisku spēlēšanas paradumu attīstības risks nekā iedzīvotājiem, kuri dzīvo lielākā attālumā. Šis risks visaugstākais ir 30 gadus vecu, kā arī vecāku iedzīvotāju vidū</w:t>
            </w:r>
            <w:r>
              <w:rPr>
                <w:rStyle w:val="FootnoteReference"/>
                <w:rFonts w:ascii="Times New Roman" w:eastAsia="SimSun" w:hAnsi="Times New Roman" w:cs="Times New Roman"/>
                <w:sz w:val="24"/>
                <w:szCs w:val="24"/>
                <w:shd w:val="clear" w:color="auto" w:fill="FFFFFF"/>
              </w:rPr>
              <w:footnoteReference w:id="5"/>
            </w:r>
            <w:r w:rsidRPr="000F7554">
              <w:rPr>
                <w:rFonts w:ascii="Times New Roman" w:eastAsia="SimSun" w:hAnsi="Times New Roman" w:cs="Times New Roman"/>
                <w:sz w:val="24"/>
                <w:szCs w:val="24"/>
                <w:shd w:val="clear" w:color="auto" w:fill="FFFFFF"/>
              </w:rPr>
              <w:t>.</w:t>
            </w:r>
          </w:p>
          <w:p w14:paraId="36BB05E7" w14:textId="12C62B74" w:rsidR="000F7554" w:rsidRPr="000F755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lastRenderedPageBreak/>
              <w:t>Pētījumā norādīts, ka eksperti intervijās norāda, ka procesu atkarība bieži ir cieši saistīta ar vielu atkarības procesiem</w:t>
            </w:r>
            <w:r w:rsidR="00C77E0F">
              <w:rPr>
                <w:rStyle w:val="FootnoteReference"/>
                <w:rFonts w:ascii="Times New Roman" w:eastAsia="SimSun" w:hAnsi="Times New Roman" w:cs="Times New Roman"/>
                <w:sz w:val="24"/>
                <w:szCs w:val="24"/>
                <w:shd w:val="clear" w:color="auto" w:fill="FFFFFF"/>
              </w:rPr>
              <w:footnoteReference w:id="6"/>
            </w:r>
            <w:r w:rsidRPr="000F7554">
              <w:rPr>
                <w:rFonts w:ascii="Times New Roman" w:eastAsia="SimSun" w:hAnsi="Times New Roman" w:cs="Times New Roman"/>
                <w:sz w:val="24"/>
                <w:szCs w:val="24"/>
                <w:shd w:val="clear" w:color="auto" w:fill="FFFFFF"/>
              </w:rPr>
              <w:t xml:space="preserve">. Pētījumā norādīts, ka saikne var būt gan saistīta ar personas noslieci uz atkarību, jo tām ir vienots </w:t>
            </w:r>
            <w:proofErr w:type="spellStart"/>
            <w:r w:rsidRPr="000F7554">
              <w:rPr>
                <w:rFonts w:ascii="Times New Roman" w:eastAsia="SimSun" w:hAnsi="Times New Roman" w:cs="Times New Roman"/>
                <w:sz w:val="24"/>
                <w:szCs w:val="24"/>
                <w:shd w:val="clear" w:color="auto" w:fill="FFFFFF"/>
              </w:rPr>
              <w:t>patofizioloģiskais</w:t>
            </w:r>
            <w:proofErr w:type="spellEnd"/>
            <w:r w:rsidRPr="000F7554">
              <w:rPr>
                <w:rFonts w:ascii="Times New Roman" w:eastAsia="SimSun" w:hAnsi="Times New Roman" w:cs="Times New Roman"/>
                <w:sz w:val="24"/>
                <w:szCs w:val="24"/>
                <w:shd w:val="clear" w:color="auto" w:fill="FFFFFF"/>
              </w:rPr>
              <w:t xml:space="preserve"> mehānisms, gan tās sociālu un kulturālu veicināšanu, piemēram, ar spēļu zāles kultūru, netieši veicinot alkohola lietošanu un smēķēšanu</w:t>
            </w:r>
            <w:r w:rsidR="00C77E0F">
              <w:rPr>
                <w:rStyle w:val="FootnoteReference"/>
                <w:rFonts w:ascii="Times New Roman" w:eastAsia="SimSun" w:hAnsi="Times New Roman" w:cs="Times New Roman"/>
                <w:sz w:val="24"/>
                <w:szCs w:val="24"/>
                <w:shd w:val="clear" w:color="auto" w:fill="FFFFFF"/>
              </w:rPr>
              <w:footnoteReference w:id="7"/>
            </w:r>
            <w:r w:rsidRPr="000F7554">
              <w:rPr>
                <w:rFonts w:ascii="Times New Roman" w:eastAsia="SimSun" w:hAnsi="Times New Roman" w:cs="Times New Roman"/>
                <w:sz w:val="24"/>
                <w:szCs w:val="24"/>
                <w:shd w:val="clear" w:color="auto" w:fill="FFFFFF"/>
              </w:rPr>
              <w:t>.</w:t>
            </w:r>
          </w:p>
          <w:p w14:paraId="574CF991" w14:textId="77777777" w:rsidR="00735AD4" w:rsidRDefault="000F7554" w:rsidP="000F7554">
            <w:pPr>
              <w:rPr>
                <w:rFonts w:ascii="Times New Roman" w:eastAsia="SimSun" w:hAnsi="Times New Roman" w:cs="Times New Roman"/>
                <w:sz w:val="24"/>
                <w:szCs w:val="24"/>
                <w:shd w:val="clear" w:color="auto" w:fill="FFFFFF"/>
              </w:rPr>
            </w:pPr>
            <w:r w:rsidRPr="000F7554">
              <w:rPr>
                <w:rFonts w:ascii="Times New Roman" w:eastAsia="SimSun" w:hAnsi="Times New Roman" w:cs="Times New Roman"/>
                <w:sz w:val="24"/>
                <w:szCs w:val="24"/>
                <w:shd w:val="clear" w:color="auto" w:fill="FFFFFF"/>
              </w:rPr>
              <w:t>Ņemot vērā minēto un pašvaldības kompetenci gādāt par iedzīvotāju veselību (Pašvaldību likuma 4. panta pirmās daļas 6. punkts), pašvaldībai ir pamats veikt pasākumus azartspēļu atkarības rašanās risku mazināšanai.</w:t>
            </w:r>
          </w:p>
          <w:p w14:paraId="37D6E121" w14:textId="77777777" w:rsidR="00C77E0F" w:rsidRPr="00C77E0F" w:rsidRDefault="00C77E0F" w:rsidP="00C77E0F">
            <w:pPr>
              <w:rPr>
                <w:rFonts w:ascii="Times New Roman" w:eastAsia="SimSun" w:hAnsi="Times New Roman" w:cs="Times New Roman"/>
                <w:sz w:val="24"/>
                <w:szCs w:val="24"/>
                <w:shd w:val="clear" w:color="auto" w:fill="FFFFFF"/>
              </w:rPr>
            </w:pPr>
            <w:r w:rsidRPr="00C77E0F">
              <w:rPr>
                <w:rFonts w:ascii="Times New Roman" w:eastAsia="SimSun" w:hAnsi="Times New Roman" w:cs="Times New Roman"/>
                <w:sz w:val="24"/>
                <w:szCs w:val="24"/>
                <w:shd w:val="clear" w:color="auto" w:fill="FFFFFF"/>
              </w:rPr>
              <w:t>Pašvaldības iespējas veikt pasākumus azartspēļu atkarības riska mazināšanai ir ļoti ierobežotas.</w:t>
            </w:r>
          </w:p>
          <w:p w14:paraId="04F4AF10" w14:textId="469D6FEF" w:rsidR="00C77E0F" w:rsidRPr="00C77E0F" w:rsidRDefault="00C77E0F" w:rsidP="00C77E0F">
            <w:pPr>
              <w:rPr>
                <w:rFonts w:ascii="Times New Roman" w:eastAsia="SimSun" w:hAnsi="Times New Roman" w:cs="Times New Roman"/>
                <w:sz w:val="24"/>
                <w:szCs w:val="24"/>
                <w:shd w:val="clear" w:color="auto" w:fill="FFFFFF"/>
              </w:rPr>
            </w:pPr>
            <w:r w:rsidRPr="00C77E0F">
              <w:rPr>
                <w:rFonts w:ascii="Times New Roman" w:eastAsia="SimSun" w:hAnsi="Times New Roman" w:cs="Times New Roman"/>
                <w:sz w:val="24"/>
                <w:szCs w:val="24"/>
                <w:shd w:val="clear" w:color="auto" w:fill="FFFFFF"/>
              </w:rPr>
              <w:t>Pašvaldība var veikt izglītojošus pasākumus (Pašvaldību likuma 4. panta pirmās daļas 6. punkts). Saskaņā ar Ministru kabineta 2004. gada 13. aprīļa noteikumu Nr. 286 "Veselības ministrijas nolikums" 5.1.11. apakšpunktu Veselības ministrija cita starpā sagatavo informāciju fiziskām personām jautājumos, kas saistīti ar veselības veicināšanu. Minētais nozīmē, ka izglītojošus pasākumus azartspēļu atkarības riska mazināšanai valsts mērogā īsteno Veselības ministrija (pieļaujams, ka arī Izglītības ministrija, regulējot izglītības procesu). Ņemot vērā, ka tiešajai pārvaldei ir pieejami būtiski lielāki finansiālie un personāla resursi, lai īstenotu izglītojošus pasākumus azartspēļu atkarības riska mazināšanai, maz ticams, ka atsevišķai pašvaldībai izdotos īstenot efektīvākus izglītojošus pasākumus azartspēļu atkarības riska mazināšanai. Izglītojošus pasākumus azartspēļu atkarības riska mazināšanai pašvaldība var veikt, bet, visticamāk, to ietekme uz azartspēļu atkarības riska mazināšanu būtu niecīga.</w:t>
            </w:r>
          </w:p>
          <w:p w14:paraId="3528D734" w14:textId="101FF300" w:rsidR="00C77E0F" w:rsidRDefault="00C77E0F" w:rsidP="00C77E0F">
            <w:pPr>
              <w:rPr>
                <w:rFonts w:ascii="Times New Roman" w:eastAsia="SimSun" w:hAnsi="Times New Roman" w:cs="Times New Roman"/>
                <w:sz w:val="24"/>
                <w:szCs w:val="24"/>
                <w:shd w:val="clear" w:color="auto" w:fill="FFFFFF"/>
              </w:rPr>
            </w:pPr>
            <w:r w:rsidRPr="00C77E0F">
              <w:rPr>
                <w:rFonts w:ascii="Times New Roman" w:eastAsia="SimSun" w:hAnsi="Times New Roman" w:cs="Times New Roman"/>
                <w:sz w:val="24"/>
                <w:szCs w:val="24"/>
                <w:shd w:val="clear" w:color="auto" w:fill="FFFFFF"/>
              </w:rPr>
              <w:t xml:space="preserve">Azartspēļu un izložu likuma </w:t>
            </w:r>
            <w:r w:rsidR="003F6894" w:rsidRPr="00C764AA">
              <w:rPr>
                <w:rFonts w:ascii="Times New Roman" w:eastAsia="SimSun" w:hAnsi="Times New Roman" w:cs="Times New Roman"/>
                <w:sz w:val="24"/>
                <w:szCs w:val="24"/>
                <w:shd w:val="clear" w:color="auto" w:fill="FFFFFF"/>
              </w:rPr>
              <w:t xml:space="preserve">(turpmāk - Likums) </w:t>
            </w:r>
            <w:r w:rsidRPr="00C77E0F">
              <w:rPr>
                <w:rFonts w:ascii="Times New Roman" w:eastAsia="SimSun" w:hAnsi="Times New Roman" w:cs="Times New Roman"/>
                <w:sz w:val="24"/>
                <w:szCs w:val="24"/>
                <w:shd w:val="clear" w:color="auto" w:fill="FFFFFF"/>
              </w:rPr>
              <w:t xml:space="preserve">42. panta desmitā daļa nosaka, ka pašvaldībai ir tiesības izdot saistošos noteikumus, ar kuriem tiek noteiktas vietas un teritorijas, kurās azartspēles nav atļauts organizēt. Ņemot vērā Pētījumā secināto (viens no efektīvākajiem pasākumiem spēlēšanas ierobežošanai gan starptautiskajā pieredzē, gan ekspertu un pašu spēlētāju perspektīvā ir pieejamības mazināšana; spēlētāji ar problēmām norāda, </w:t>
            </w:r>
            <w:r w:rsidRPr="00C77E0F">
              <w:rPr>
                <w:rFonts w:ascii="Times New Roman" w:eastAsia="SimSun" w:hAnsi="Times New Roman" w:cs="Times New Roman"/>
                <w:sz w:val="24"/>
                <w:szCs w:val="24"/>
                <w:shd w:val="clear" w:color="auto" w:fill="FFFFFF"/>
              </w:rPr>
              <w:lastRenderedPageBreak/>
              <w:t>ka spēļu zāļu tīkli atrodas tik tuvu mājām, ka nav iespējams izvairīties no vizuāla kontakta) un Pamatnostādnēs norādīto (pētījumi ir apliecinājuši, ka azartspēļu norises vietu attālumam līdz iedzīvotāju dzīves vietai ir statistiski nozīmīga saikne ar paredzamo problemātisko paradumu izplatību pieaugušo populācijā. Iedzīvotājiem, kuri dzīvo 16 km rādiusā no spēļu zālēm vai kazino, pastāv divas reizes augstāks problemātisku spēlēšanas paradumu attīstības risks nekā iedzīvotājiem, kuri dzīvo lielākā attālumā), pašvaldībai ir pamatoti noteikt vietas un teritorijas, kurās azartspēles nav atļauts organizēt.</w:t>
            </w:r>
          </w:p>
          <w:p w14:paraId="48710CA4" w14:textId="47F06653"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Likum</w:t>
            </w:r>
            <w:r w:rsidR="003F6894">
              <w:rPr>
                <w:rFonts w:ascii="Times New Roman" w:eastAsia="SimSun" w:hAnsi="Times New Roman" w:cs="Times New Roman"/>
                <w:sz w:val="24"/>
                <w:szCs w:val="24"/>
                <w:shd w:val="clear" w:color="auto" w:fill="FFFFFF"/>
              </w:rPr>
              <w:t>a</w:t>
            </w:r>
            <w:r w:rsidRPr="00C764AA">
              <w:rPr>
                <w:rFonts w:ascii="Times New Roman" w:eastAsia="SimSun" w:hAnsi="Times New Roman" w:cs="Times New Roman"/>
                <w:sz w:val="24"/>
                <w:szCs w:val="24"/>
                <w:shd w:val="clear" w:color="auto" w:fill="FFFFFF"/>
              </w:rPr>
              <w:t xml:space="preserve"> 41. panta otrā daļa nosaka vietas un teritorijas, kurās nav atļauts organizēt azartspēles. Pašvaldības ieskatā šo vietu un teritoriju uzskaitījums ir nepietiekams.</w:t>
            </w:r>
          </w:p>
          <w:p w14:paraId="528FE7E0" w14:textId="711605E9"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Kā jau minēts, Likuma 42. panta desmitā daļa nosaka, ka pašvaldībai ir tiesības izdot saistošos noteikumus, ar kuriem tiek noteiktas vietas un teritorijas, kurās azartspēles nav atļauts organizēt.</w:t>
            </w:r>
          </w:p>
          <w:p w14:paraId="75BF62E0" w14:textId="5BD12DAB"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Satversmes tiesa 2023. gada 20. aprīļa spriedumā lietā Nr. 2022-13-05 (turpmāk - Spriedums) cita starpā secināja, ka pašvaldība ir tiesīga noteikt azartspēļu organizēšanas aizliegumu saistošajos noteikumos, kas izdoti pamatojoties uz Azartspēļu likuma 42. panta desmito daļu</w:t>
            </w:r>
            <w:r>
              <w:rPr>
                <w:rStyle w:val="FootnoteReference"/>
                <w:rFonts w:ascii="Times New Roman" w:eastAsia="SimSun" w:hAnsi="Times New Roman" w:cs="Times New Roman"/>
                <w:sz w:val="24"/>
                <w:szCs w:val="24"/>
                <w:shd w:val="clear" w:color="auto" w:fill="FFFFFF"/>
              </w:rPr>
              <w:footnoteReference w:id="8"/>
            </w:r>
            <w:r w:rsidRPr="00C764AA">
              <w:rPr>
                <w:rFonts w:ascii="Times New Roman" w:eastAsia="SimSun" w:hAnsi="Times New Roman" w:cs="Times New Roman"/>
                <w:sz w:val="24"/>
                <w:szCs w:val="24"/>
                <w:shd w:val="clear" w:color="auto" w:fill="FFFFFF"/>
              </w:rPr>
              <w:t>.</w:t>
            </w:r>
          </w:p>
          <w:p w14:paraId="3E3AC0A8" w14:textId="77777777"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Satversmes tiesa Spriedumā cita starpā secināja arī, ka:</w:t>
            </w:r>
          </w:p>
          <w:p w14:paraId="160E69DB" w14:textId="0CEE8F80"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1) aizliegums organizēt azartspēles ir pamatojams nevis ar vispārīgiem apsvērumiem par azartspēļu kaitīgumu un vispārīgu norādi uz sabiedrības interesēm, bet gan ar konkrētās vietas vai teritorijas specifiskajām īpašībām, kas to padara par azartspēļu organizēšanai nepiemērotu.</w:t>
            </w:r>
            <w:r>
              <w:rPr>
                <w:rStyle w:val="FootnoteReference"/>
                <w:rFonts w:ascii="Times New Roman" w:eastAsia="SimSun" w:hAnsi="Times New Roman" w:cs="Times New Roman"/>
                <w:sz w:val="24"/>
                <w:szCs w:val="24"/>
                <w:shd w:val="clear" w:color="auto" w:fill="FFFFFF"/>
              </w:rPr>
              <w:footnoteReference w:id="9"/>
            </w:r>
            <w:r w:rsidRPr="00C764AA">
              <w:rPr>
                <w:rFonts w:ascii="Times New Roman" w:eastAsia="SimSun" w:hAnsi="Times New Roman" w:cs="Times New Roman"/>
                <w:sz w:val="24"/>
                <w:szCs w:val="24"/>
                <w:shd w:val="clear" w:color="auto" w:fill="FFFFFF"/>
              </w:rPr>
              <w:t xml:space="preserve"> Satversmes tiesa Spriedumā arī secināja, ka, paredzot vietas un teritorijas, kuras azartspēles organizēt nav atļauts, tās rīcībai ir jābūt balstītai racionālos apsvērumos, kas pamato noteiktā ierobežojuma nepieciešamību</w:t>
            </w:r>
            <w:r>
              <w:rPr>
                <w:rStyle w:val="FootnoteReference"/>
                <w:rFonts w:ascii="Times New Roman" w:eastAsia="SimSun" w:hAnsi="Times New Roman" w:cs="Times New Roman"/>
                <w:sz w:val="24"/>
                <w:szCs w:val="24"/>
                <w:shd w:val="clear" w:color="auto" w:fill="FFFFFF"/>
              </w:rPr>
              <w:footnoteReference w:id="10"/>
            </w:r>
            <w:r w:rsidRPr="00C764AA">
              <w:rPr>
                <w:rFonts w:ascii="Times New Roman" w:eastAsia="SimSun" w:hAnsi="Times New Roman" w:cs="Times New Roman"/>
                <w:sz w:val="24"/>
                <w:szCs w:val="24"/>
                <w:shd w:val="clear" w:color="auto" w:fill="FFFFFF"/>
              </w:rPr>
              <w:t>;</w:t>
            </w:r>
          </w:p>
          <w:p w14:paraId="3CC30DB8" w14:textId="6C925930"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 xml:space="preserve">2) pašvaldībai, ja tā nosaka vietas un teritorijas, kurās azartspēles organizēt nav atļauts, ir jāveic individuāls </w:t>
            </w:r>
            <w:proofErr w:type="spellStart"/>
            <w:r w:rsidRPr="00C764AA">
              <w:rPr>
                <w:rFonts w:ascii="Times New Roman" w:eastAsia="SimSun" w:hAnsi="Times New Roman" w:cs="Times New Roman"/>
                <w:sz w:val="24"/>
                <w:szCs w:val="24"/>
                <w:shd w:val="clear" w:color="auto" w:fill="FFFFFF"/>
              </w:rPr>
              <w:t>izvērtējums</w:t>
            </w:r>
            <w:proofErr w:type="spellEnd"/>
            <w:r w:rsidRPr="00C764AA">
              <w:rPr>
                <w:rFonts w:ascii="Times New Roman" w:eastAsia="SimSun" w:hAnsi="Times New Roman" w:cs="Times New Roman"/>
                <w:sz w:val="24"/>
                <w:szCs w:val="24"/>
                <w:shd w:val="clear" w:color="auto" w:fill="FFFFFF"/>
              </w:rPr>
              <w:t xml:space="preserve"> par katru no šīm vietām un teritorijām. Pašvaldībai ir jānodrošina līdzsvars starp azartspēļu </w:t>
            </w:r>
            <w:r w:rsidRPr="00C764AA">
              <w:rPr>
                <w:rFonts w:ascii="Times New Roman" w:eastAsia="SimSun" w:hAnsi="Times New Roman" w:cs="Times New Roman"/>
                <w:sz w:val="24"/>
                <w:szCs w:val="24"/>
                <w:shd w:val="clear" w:color="auto" w:fill="FFFFFF"/>
              </w:rPr>
              <w:lastRenderedPageBreak/>
              <w:t>organizēšanu un sabiedrības interesēm. Pieņemot saistošos noteikumus, kuros noteiktas vietas un teritorijas, kurās azartspēles organizēt nav atļauts, pašvaldībai ir pienācīgi jāpamato, kāpēc katrā no tām azartspēļu organizēšana būtu aizliedzama, ņemot vērā dažādus apstākļus, tostarp attiecīgās pašvaldības administratīvās teritorijas iedzīvotāju intereses</w:t>
            </w:r>
            <w:r>
              <w:rPr>
                <w:rStyle w:val="FootnoteReference"/>
                <w:rFonts w:ascii="Times New Roman" w:eastAsia="SimSun" w:hAnsi="Times New Roman" w:cs="Times New Roman"/>
                <w:sz w:val="24"/>
                <w:szCs w:val="24"/>
                <w:shd w:val="clear" w:color="auto" w:fill="FFFFFF"/>
              </w:rPr>
              <w:footnoteReference w:id="11"/>
            </w:r>
            <w:r w:rsidRPr="00C764AA">
              <w:rPr>
                <w:rFonts w:ascii="Times New Roman" w:eastAsia="SimSun" w:hAnsi="Times New Roman" w:cs="Times New Roman"/>
                <w:sz w:val="24"/>
                <w:szCs w:val="24"/>
                <w:shd w:val="clear" w:color="auto" w:fill="FFFFFF"/>
              </w:rPr>
              <w:t>;</w:t>
            </w:r>
          </w:p>
          <w:p w14:paraId="21F22935" w14:textId="01FC7F44" w:rsidR="00C764AA" w:rsidRPr="00C764AA"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3) pašvaldība ir tiesīga noteikt neierobežoti daudz vietu un teritoriju, kurās azartspēles organizēt nav atļauts, turklāt šāds ierobežojums var tikt noteikts ikvienā pašvaldības vietā un teritorijā, izņemot tās vietas, kurās saskaņā ar Likumā noteikto pašvaldības atļauja azartspēļu organizēšanas vietas atvēršanai nav nepieciešama</w:t>
            </w:r>
            <w:r w:rsidR="004C62DB">
              <w:rPr>
                <w:rStyle w:val="FootnoteReference"/>
                <w:rFonts w:ascii="Times New Roman" w:eastAsia="SimSun" w:hAnsi="Times New Roman" w:cs="Times New Roman"/>
                <w:sz w:val="24"/>
                <w:szCs w:val="24"/>
                <w:shd w:val="clear" w:color="auto" w:fill="FFFFFF"/>
              </w:rPr>
              <w:footnoteReference w:id="12"/>
            </w:r>
            <w:r w:rsidRPr="00C764AA">
              <w:rPr>
                <w:rFonts w:ascii="Times New Roman" w:eastAsia="SimSun" w:hAnsi="Times New Roman" w:cs="Times New Roman"/>
                <w:sz w:val="24"/>
                <w:szCs w:val="24"/>
                <w:shd w:val="clear" w:color="auto" w:fill="FFFFFF"/>
              </w:rPr>
              <w:t>;</w:t>
            </w:r>
          </w:p>
          <w:p w14:paraId="701D7959" w14:textId="77777777" w:rsidR="00C77E0F" w:rsidRDefault="00C764AA" w:rsidP="00C764AA">
            <w:pPr>
              <w:rPr>
                <w:rFonts w:ascii="Times New Roman" w:eastAsia="SimSun" w:hAnsi="Times New Roman" w:cs="Times New Roman"/>
                <w:sz w:val="24"/>
                <w:szCs w:val="24"/>
                <w:shd w:val="clear" w:color="auto" w:fill="FFFFFF"/>
              </w:rPr>
            </w:pPr>
            <w:r w:rsidRPr="00C764AA">
              <w:rPr>
                <w:rFonts w:ascii="Times New Roman" w:eastAsia="SimSun" w:hAnsi="Times New Roman" w:cs="Times New Roman"/>
                <w:sz w:val="24"/>
                <w:szCs w:val="24"/>
                <w:shd w:val="clear" w:color="auto" w:fill="FFFFFF"/>
              </w:rPr>
              <w:t>4) visā pašvaldības teritorijā azartspēļu organizēšana varētu tikt aizliegta tikai tad, ja pašvaldība pēc katras tās administratīvajā teritorijā ietilpstošās vietas un teritorijas izvērtēšanas nonāktu pie secinājuma, ka azartspēļu organizēšanas aizliegums katrā no šīm vietām un teritorijām ir nepieciešams un kopumā tas aptver visu pašvaldības teritoriju</w:t>
            </w:r>
            <w:r w:rsidR="004C62DB">
              <w:rPr>
                <w:rStyle w:val="FootnoteReference"/>
                <w:rFonts w:ascii="Times New Roman" w:eastAsia="SimSun" w:hAnsi="Times New Roman" w:cs="Times New Roman"/>
                <w:sz w:val="24"/>
                <w:szCs w:val="24"/>
                <w:shd w:val="clear" w:color="auto" w:fill="FFFFFF"/>
              </w:rPr>
              <w:footnoteReference w:id="13"/>
            </w:r>
            <w:r w:rsidRPr="00C764AA">
              <w:rPr>
                <w:rFonts w:ascii="Times New Roman" w:eastAsia="SimSun" w:hAnsi="Times New Roman" w:cs="Times New Roman"/>
                <w:sz w:val="24"/>
                <w:szCs w:val="24"/>
                <w:shd w:val="clear" w:color="auto" w:fill="FFFFFF"/>
              </w:rPr>
              <w:t>.</w:t>
            </w:r>
          </w:p>
          <w:p w14:paraId="2F8D750A" w14:textId="6E93BF0E" w:rsidR="004C62DB" w:rsidRPr="00F43F05" w:rsidRDefault="004C62DB" w:rsidP="00F43F05">
            <w:pPr>
              <w:pStyle w:val="NormalWeb"/>
              <w:shd w:val="clear" w:color="auto" w:fill="FFFFFF"/>
              <w:spacing w:line="293" w:lineRule="atLeast"/>
              <w:ind w:firstLine="300"/>
              <w:jc w:val="both"/>
              <w:rPr>
                <w:color w:val="414142"/>
              </w:rPr>
            </w:pPr>
            <w:r w:rsidRPr="00F43F05">
              <w:rPr>
                <w:color w:val="414142"/>
              </w:rPr>
              <w:t xml:space="preserve">Pašvaldībai, nosakot vietas un teritorijas, kurās nav atļauts organizēt azartspēles, būtisku uzmanību jāpiegriež pašvaldības administratīvās teritorijas specifikai. Ķekavas novada pašvaldības pilsētas ir nelielas, tas ir, viss ir viegli pieejams un pēc būtības atrodas vienviet. Tas nozīmē, ka mājas, darbs, veikals, izglītības iestāde, ārstniecības iestāde, aptieka, autoserviss, citas institūcijas un sabiedriski nozīmīgas ēkas un vietas, piemēram, </w:t>
            </w:r>
            <w:r w:rsidR="00F43F05">
              <w:rPr>
                <w:color w:val="414142"/>
              </w:rPr>
              <w:t>Ķekavā</w:t>
            </w:r>
            <w:r w:rsidRPr="00F43F05">
              <w:rPr>
                <w:color w:val="414142"/>
              </w:rPr>
              <w:t xml:space="preserve"> atrodas vienviet. Šādos apstākļos Likuma 41. panta otrā daļā noteiktās vietas un teritorijas, kurās nav atļauts organizēt azartspēles, pēc būtības nesamazina azartspēļu organizēšanas vietu pieejamību. Turklāt, </w:t>
            </w:r>
            <w:r w:rsidR="00F43F05">
              <w:rPr>
                <w:color w:val="414142"/>
              </w:rPr>
              <w:t>Ķekavā</w:t>
            </w:r>
            <w:r w:rsidRPr="00F43F05">
              <w:rPr>
                <w:color w:val="414142"/>
              </w:rPr>
              <w:t xml:space="preserve"> jebkur ir iespējams nokļūt aptuveni 5 minūšu laikā. Šādos apstākļos nav arī iespējams izvairīties no vizuāla kontakta ar azartspēļu organizēšanas vietām </w:t>
            </w:r>
            <w:r w:rsidR="00F43F05">
              <w:rPr>
                <w:color w:val="414142"/>
              </w:rPr>
              <w:t>Ķekavas</w:t>
            </w:r>
            <w:r w:rsidRPr="00F43F05">
              <w:rPr>
                <w:color w:val="414142"/>
              </w:rPr>
              <w:t xml:space="preserve"> pilsētas teritorijā. Līdzīga situācija ir </w:t>
            </w:r>
            <w:r w:rsidR="00F43F05">
              <w:rPr>
                <w:color w:val="414142"/>
              </w:rPr>
              <w:t>pārējās</w:t>
            </w:r>
            <w:r w:rsidRPr="00F43F05">
              <w:rPr>
                <w:color w:val="414142"/>
              </w:rPr>
              <w:t xml:space="preserve"> </w:t>
            </w:r>
            <w:r w:rsidR="00F43F05">
              <w:rPr>
                <w:color w:val="414142"/>
              </w:rPr>
              <w:t>Ķekavas</w:t>
            </w:r>
            <w:r w:rsidRPr="00F43F05">
              <w:rPr>
                <w:color w:val="414142"/>
              </w:rPr>
              <w:t xml:space="preserve"> novada pilsētās un arī ciemos - ar atrunu, ka daļu no institūcijām un sabiedriski </w:t>
            </w:r>
            <w:r w:rsidRPr="00F43F05">
              <w:rPr>
                <w:color w:val="414142"/>
              </w:rPr>
              <w:lastRenderedPageBreak/>
              <w:t>nozīmīgām ēkām un vietām ir nepieciešams apmeklēt pilsētā</w:t>
            </w:r>
            <w:r w:rsidR="00F43F05">
              <w:rPr>
                <w:color w:val="414142"/>
              </w:rPr>
              <w:t>.</w:t>
            </w:r>
          </w:p>
          <w:p w14:paraId="60CFC950" w14:textId="77777777" w:rsidR="004C62DB" w:rsidRPr="00F43F05" w:rsidRDefault="004C62DB" w:rsidP="00F43F05">
            <w:pPr>
              <w:pStyle w:val="NormalWeb"/>
              <w:shd w:val="clear" w:color="auto" w:fill="FFFFFF"/>
              <w:spacing w:line="293" w:lineRule="atLeast"/>
              <w:ind w:firstLine="300"/>
              <w:jc w:val="both"/>
              <w:rPr>
                <w:color w:val="414142"/>
              </w:rPr>
            </w:pPr>
            <w:r w:rsidRPr="00F43F05">
              <w:rPr>
                <w:color w:val="414142"/>
              </w:rPr>
              <w:t>Pamatnostādnēs norādītais, ka 16 km rādiusā no spēļu zālēm pastāv divas reizes augstāks problemātisku spēlēšanas paradumu attīstības risks, ir būtisks apstāklis, kas ņemams vērā nosakot vietas un teritorijas, kurās nav atļauts organizēt azartspēles. Tas ir, ja spēļu zāle atrodas 16 km attālumā no cilvēkiem un tādējādi divas reizes samazinās problemātisku spēlēšanas paradumu attīstības risks, tas uzskatāms par būtisku apstākli sabiedrības interešu aizsargāšanai. Ņemot vērā minēto, pašvaldības ieskatā ir pamatoti noteikt, ka azartspēles organizēt ir aizliedzams tuvāk par 16 km no pilsētām un ciemiem - vietām, kur atrodas liels cilvēku skaits.</w:t>
            </w:r>
          </w:p>
          <w:p w14:paraId="1E6AE33F" w14:textId="5839A2E4" w:rsidR="004C62DB" w:rsidRPr="00F43F05" w:rsidRDefault="004C62DB" w:rsidP="004C62DB">
            <w:pPr>
              <w:pStyle w:val="NormalWeb"/>
              <w:shd w:val="clear" w:color="auto" w:fill="FFFFFF"/>
              <w:spacing w:line="293" w:lineRule="atLeast"/>
              <w:ind w:firstLine="300"/>
              <w:rPr>
                <w:color w:val="414142"/>
              </w:rPr>
            </w:pPr>
            <w:r w:rsidRPr="00F43F05">
              <w:rPr>
                <w:color w:val="414142"/>
              </w:rPr>
              <w:t>Ja azartspēļu organizēšanas vieta, piemēram, tiek pārcelta ārpus pilsētām un ciemiem, tad nebūtu pieļaujams, ka kādas dzīvojamās mājas tiešā tuvumā tiktu izveidota azartspēļu organizēšanas vieta, jo šādā vietā varētu veidoties apstākļi, kas samazina attiecīgās dzīvojamās mājas iedzīvotāju dzīves kvalitāti (intensīva satiksme, troksnis, kriminogēnas vides veidošanās u.tml.). Ņemot vērā minēto, pašvaldības ieskatā ir pamatoti noteikt, ka azartspēles organizēt ir aizliedzams tuvāk par 2 km no dzīvojamām mājām.</w:t>
            </w:r>
          </w:p>
          <w:p w14:paraId="059CB1EB" w14:textId="6CC854F0" w:rsidR="004C62DB" w:rsidRPr="00F43F05" w:rsidRDefault="00147F9F" w:rsidP="004C62DB">
            <w:pPr>
              <w:pStyle w:val="NormalWeb"/>
              <w:shd w:val="clear" w:color="auto" w:fill="FFFFFF"/>
              <w:spacing w:line="293" w:lineRule="atLeast"/>
              <w:ind w:firstLine="300"/>
              <w:rPr>
                <w:color w:val="414142"/>
              </w:rPr>
            </w:pPr>
            <w:r>
              <w:rPr>
                <w:color w:val="414142"/>
              </w:rPr>
              <w:t>Ņemot vērā iepriekš minēto konstatējams, ka</w:t>
            </w:r>
            <w:r w:rsidR="004C62DB" w:rsidRPr="00F43F05">
              <w:rPr>
                <w:color w:val="414142"/>
              </w:rPr>
              <w:t xml:space="preserve"> kopumā aizliegums organizēt azartspēles aptver visu pašvaldības teritoriju. </w:t>
            </w:r>
            <w:r>
              <w:rPr>
                <w:color w:val="414142"/>
              </w:rPr>
              <w:t>Tas</w:t>
            </w:r>
            <w:r w:rsidR="004C62DB" w:rsidRPr="00F43F05">
              <w:rPr>
                <w:color w:val="414142"/>
              </w:rPr>
              <w:t xml:space="preserve"> cita starpā nozīmē, ka aizliegums organizēt azartspēles attiecināms uz visu pašvaldības administratīvo teritoriju.</w:t>
            </w:r>
          </w:p>
          <w:p w14:paraId="67624987" w14:textId="79321EA4" w:rsidR="004C62DB" w:rsidRPr="00F43F05" w:rsidRDefault="004C62DB" w:rsidP="004C62DB">
            <w:pPr>
              <w:pStyle w:val="NormalWeb"/>
              <w:shd w:val="clear" w:color="auto" w:fill="FFFFFF"/>
              <w:spacing w:line="293" w:lineRule="atLeast"/>
              <w:ind w:firstLine="300"/>
              <w:rPr>
                <w:color w:val="414142"/>
              </w:rPr>
            </w:pPr>
            <w:r w:rsidRPr="00F43F05">
              <w:rPr>
                <w:color w:val="414142"/>
              </w:rPr>
              <w:t>Papildus atzīmējams, ka šāda ierobežojuma noteikšana samazinās azartspēļu organizēšanas vietu pieejamību jauniešiem (saskaņā ar </w:t>
            </w:r>
            <w:hyperlink r:id="rId8" w:tgtFrame="_blank" w:history="1">
              <w:r w:rsidRPr="00F43F05">
                <w:rPr>
                  <w:rStyle w:val="Hyperlink"/>
                  <w:color w:val="16497B"/>
                </w:rPr>
                <w:t>Jaunatnes likuma</w:t>
              </w:r>
            </w:hyperlink>
            <w:r w:rsidRPr="00F43F05">
              <w:rPr>
                <w:color w:val="414142"/>
              </w:rPr>
              <w:t> </w:t>
            </w:r>
            <w:hyperlink r:id="rId9" w:anchor="p1" w:tgtFrame="_blank" w:history="1">
              <w:r w:rsidRPr="00F43F05">
                <w:rPr>
                  <w:rStyle w:val="Hyperlink"/>
                  <w:color w:val="16497B"/>
                </w:rPr>
                <w:t>1. pantu</w:t>
              </w:r>
            </w:hyperlink>
            <w:r w:rsidRPr="00F43F05">
              <w:rPr>
                <w:color w:val="414142"/>
              </w:rPr>
              <w:t xml:space="preserve"> jaunietis ir persona vecumā no 13 līdz 25 gadiem). Pētījumā secināts, ka viena no galvenajām dažādu procesu atkarības skartajām </w:t>
            </w:r>
            <w:proofErr w:type="spellStart"/>
            <w:r w:rsidRPr="00F43F05">
              <w:rPr>
                <w:color w:val="414142"/>
              </w:rPr>
              <w:t>mērķgrupām</w:t>
            </w:r>
            <w:proofErr w:type="spellEnd"/>
            <w:r w:rsidRPr="00F43F05">
              <w:rPr>
                <w:color w:val="414142"/>
              </w:rPr>
              <w:t xml:space="preserve"> ir jaunieši. Šai grupai ir arī mazāk kritiska attieksme pret procesu potenciālo kaitējumu un biežāk raksturīgs uzskats, ka paši ar problēmām var tikt galā</w:t>
            </w:r>
            <w:r w:rsidR="00607D9B" w:rsidRPr="00F43F05">
              <w:rPr>
                <w:rStyle w:val="FootnoteReference"/>
                <w:color w:val="414142"/>
              </w:rPr>
              <w:footnoteReference w:id="14"/>
            </w:r>
            <w:r w:rsidRPr="00F43F05">
              <w:rPr>
                <w:color w:val="414142"/>
              </w:rPr>
              <w:t>.</w:t>
            </w:r>
          </w:p>
          <w:p w14:paraId="7E3F4BE3" w14:textId="77777777" w:rsidR="00F3702B" w:rsidRPr="00F43F05" w:rsidRDefault="00F3702B" w:rsidP="00F3702B">
            <w:pPr>
              <w:pStyle w:val="NormalWeb"/>
              <w:shd w:val="clear" w:color="auto" w:fill="FFFFFF"/>
              <w:spacing w:line="293" w:lineRule="atLeast"/>
              <w:rPr>
                <w:color w:val="414142"/>
              </w:rPr>
            </w:pPr>
            <w:r w:rsidRPr="00F43F05">
              <w:rPr>
                <w:color w:val="414142"/>
              </w:rPr>
              <w:t xml:space="preserve">Nosakot ierobežojumu azartspēļu organizēšanai, nepieciešams ņemt vērā reālus sociālus apstākļus, tajā skaitā to, ka līdz šim ierobežojumi azartspēļu organizēšanai bijuši citādāki. Azartspēles ir brīvas </w:t>
            </w:r>
            <w:r w:rsidRPr="00F43F05">
              <w:rPr>
                <w:color w:val="414142"/>
              </w:rPr>
              <w:lastRenderedPageBreak/>
              <w:t xml:space="preserve">konkurences apstākļos pastāvošs, legāls komercdarbības veids. Šādas komercdarbības veicējam ir pamats paļauties uz regulējuma noteiktību un </w:t>
            </w:r>
            <w:proofErr w:type="spellStart"/>
            <w:r w:rsidRPr="00F43F05">
              <w:rPr>
                <w:color w:val="414142"/>
              </w:rPr>
              <w:t>paredzamību</w:t>
            </w:r>
            <w:proofErr w:type="spellEnd"/>
            <w:r w:rsidRPr="00F43F05">
              <w:rPr>
                <w:color w:val="414142"/>
              </w:rPr>
              <w:t>.</w:t>
            </w:r>
          </w:p>
          <w:p w14:paraId="7305F074" w14:textId="42A7B0C0" w:rsidR="00F3702B" w:rsidRPr="00F43F05" w:rsidRDefault="00F3702B" w:rsidP="00F3702B">
            <w:pPr>
              <w:pStyle w:val="NormalWeb"/>
              <w:shd w:val="clear" w:color="auto" w:fill="FFFFFF"/>
              <w:spacing w:line="293" w:lineRule="atLeast"/>
              <w:rPr>
                <w:color w:val="414142"/>
              </w:rPr>
            </w:pPr>
            <w:r w:rsidRPr="00F43F05">
              <w:rPr>
                <w:color w:val="414142"/>
              </w:rPr>
              <w:t>Saistošie noteikumi neatceļ un nevar atcelt Likuma 42. panta trešajā daļā noteikto, ka azartspēles ir iespējams organizēt četru un piecu zvaigžņu viesnīcās.</w:t>
            </w:r>
          </w:p>
          <w:p w14:paraId="567A23B8" w14:textId="73AFFAB0" w:rsidR="007B49D0" w:rsidRPr="00F43F05" w:rsidRDefault="007B49D0" w:rsidP="00F3702B">
            <w:pPr>
              <w:pStyle w:val="NormalWeb"/>
              <w:shd w:val="clear" w:color="auto" w:fill="FFFFFF"/>
              <w:spacing w:line="293" w:lineRule="atLeast"/>
              <w:rPr>
                <w:color w:val="414142"/>
                <w:shd w:val="clear" w:color="auto" w:fill="FFFFFF"/>
              </w:rPr>
            </w:pPr>
            <w:r w:rsidRPr="00F43F05">
              <w:rPr>
                <w:color w:val="414142"/>
                <w:shd w:val="clear" w:color="auto" w:fill="FFFFFF"/>
              </w:rPr>
              <w:t>Nav paredzēta administratīvā atbildība par saistošo noteikumu pārkāpšanu. Administratīvie pārkāpumi azartspēļu un izložu organizēšanas un azartspēļu pakalpojumu sniegšanas jomā un kompetence administratīvo pārkāpumu procesā noteikti attiecīgajos nacionāla līmeņa normatīvajos aktos.</w:t>
            </w:r>
          </w:p>
          <w:p w14:paraId="43F35240" w14:textId="38195F48" w:rsidR="007B49D0" w:rsidRPr="00F43F05" w:rsidRDefault="00F43F05" w:rsidP="00F3702B">
            <w:pPr>
              <w:pStyle w:val="NormalWeb"/>
              <w:shd w:val="clear" w:color="auto" w:fill="FFFFFF"/>
              <w:spacing w:line="293" w:lineRule="atLeast"/>
              <w:rPr>
                <w:color w:val="414142"/>
              </w:rPr>
            </w:pPr>
            <w:r w:rsidRPr="00F43F05">
              <w:rPr>
                <w:color w:val="414142"/>
                <w:shd w:val="clear" w:color="auto" w:fill="FFFFFF"/>
              </w:rPr>
              <w:t>Par alternatīvu varētu uzskatīt izglītojošu pasākumu īstenošanu, tomēr tie nav atzīstami par efektīviem.</w:t>
            </w:r>
          </w:p>
          <w:p w14:paraId="25C4BDA1" w14:textId="6C06D85C" w:rsidR="004C62DB" w:rsidRPr="00F94563" w:rsidRDefault="004C62DB" w:rsidP="00607D9B">
            <w:pPr>
              <w:pStyle w:val="NormalWeb"/>
              <w:shd w:val="clear" w:color="auto" w:fill="FFFFFF"/>
              <w:spacing w:line="293" w:lineRule="atLeast"/>
              <w:ind w:firstLine="300"/>
              <w:rPr>
                <w:rFonts w:eastAsia="SimSun"/>
                <w:shd w:val="clear" w:color="auto" w:fill="FFFFFF"/>
                <w:lang w:eastAsia="en-US"/>
              </w:rPr>
            </w:pPr>
          </w:p>
        </w:tc>
      </w:tr>
      <w:tr w:rsidR="000C39C2" w:rsidRPr="00E51681" w14:paraId="6F298122" w14:textId="77777777" w:rsidTr="00D66BE7">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5CBCF52C" w14:textId="77777777" w:rsidR="000C39C2" w:rsidRPr="00E51681" w:rsidRDefault="000C39C2" w:rsidP="00AB36DD">
            <w:pPr>
              <w:numPr>
                <w:ilvl w:val="0"/>
                <w:numId w:val="1"/>
              </w:numPr>
              <w:tabs>
                <w:tab w:val="left" w:pos="426"/>
              </w:tabs>
              <w:spacing w:after="0" w:line="240" w:lineRule="auto"/>
              <w:ind w:left="142"/>
              <w:rPr>
                <w:rFonts w:ascii="Times New Roman" w:hAnsi="Times New Roman" w:cs="Times New Roman"/>
                <w:sz w:val="24"/>
                <w:szCs w:val="24"/>
                <w:lang w:eastAsia="lv-LV"/>
              </w:rPr>
            </w:pPr>
            <w:r w:rsidRPr="00E51681">
              <w:rPr>
                <w:rFonts w:ascii="Times New Roman" w:hAnsi="Times New Roman" w:cs="Times New Roman"/>
                <w:sz w:val="24"/>
                <w:szCs w:val="24"/>
                <w:lang w:eastAsia="lv-LV"/>
              </w:rPr>
              <w:lastRenderedPageBreak/>
              <w:t>2.</w:t>
            </w:r>
            <w:bookmarkStart w:id="0" w:name="_Hlk126158560"/>
            <w:r w:rsidRPr="00E51681">
              <w:rPr>
                <w:rFonts w:ascii="Times New Roman" w:hAnsi="Times New Roman" w:cs="Times New Roman"/>
                <w:sz w:val="24"/>
                <w:szCs w:val="24"/>
                <w:lang w:eastAsia="lv-LV"/>
              </w:rPr>
              <w:t>Fiskālā ietekme uz pašvaldības budžetu</w:t>
            </w:r>
            <w:bookmarkEnd w:id="0"/>
          </w:p>
        </w:tc>
        <w:tc>
          <w:tcPr>
            <w:tcW w:w="3088" w:type="pct"/>
            <w:tcBorders>
              <w:top w:val="outset" w:sz="6" w:space="0" w:color="auto"/>
              <w:left w:val="outset" w:sz="6" w:space="0" w:color="auto"/>
              <w:bottom w:val="outset" w:sz="6" w:space="0" w:color="auto"/>
              <w:right w:val="outset" w:sz="6" w:space="0" w:color="auto"/>
            </w:tcBorders>
            <w:hideMark/>
          </w:tcPr>
          <w:p w14:paraId="0867C8E7" w14:textId="44FAD223" w:rsidR="00C806BD" w:rsidRPr="00E51681" w:rsidRDefault="00F94563" w:rsidP="00C806BD">
            <w:pPr>
              <w:spacing w:after="0" w:line="240" w:lineRule="auto"/>
              <w:jc w:val="both"/>
              <w:rPr>
                <w:rFonts w:ascii="Times New Roman" w:eastAsia="Times New Roman" w:hAnsi="Times New Roman" w:cs="Times New Roman"/>
                <w:sz w:val="24"/>
                <w:szCs w:val="24"/>
                <w:shd w:val="clear" w:color="auto" w:fill="FFFFFF"/>
                <w:lang w:eastAsia="lv-LV"/>
              </w:rPr>
            </w:pPr>
            <w:r w:rsidRPr="00F94563">
              <w:rPr>
                <w:rFonts w:ascii="Times New Roman" w:eastAsia="Times New Roman" w:hAnsi="Times New Roman" w:cs="Times New Roman"/>
                <w:sz w:val="24"/>
                <w:szCs w:val="24"/>
                <w:shd w:val="clear" w:color="auto" w:fill="FFFFFF"/>
                <w:lang w:eastAsia="lv-LV"/>
              </w:rPr>
              <w:t>Nav precīzi aprēķināms. Iespējams, ka samazināsies ienākumi, kas saistīti ar iedzīvotāju ienākuma nodokļa daļu pašvaldības budžetā. Tomēr, šādā gadījumā ilgtermiņā vajadzētu samazināties nepieciešamībai pēc personāla un finanšu resursiem azartspēļu atkarības seku novēršanai - sociālā palīdzība, sociālie pakalpojumi, sociālā dienesta personāla resursi.</w:t>
            </w:r>
          </w:p>
          <w:p w14:paraId="734CACF2" w14:textId="77777777" w:rsidR="00B64BE4" w:rsidRPr="00E51681" w:rsidRDefault="00B64BE4" w:rsidP="00C806BD">
            <w:pPr>
              <w:autoSpaceDN w:val="0"/>
              <w:spacing w:after="0" w:line="240" w:lineRule="auto"/>
              <w:jc w:val="both"/>
              <w:rPr>
                <w:rFonts w:ascii="Times New Roman" w:hAnsi="Times New Roman" w:cs="Times New Roman"/>
                <w:sz w:val="24"/>
                <w:szCs w:val="24"/>
              </w:rPr>
            </w:pPr>
          </w:p>
          <w:p w14:paraId="46636BC0" w14:textId="77777777" w:rsidR="000C39C2" w:rsidRPr="00E51681" w:rsidRDefault="000C39C2" w:rsidP="00AB36DD">
            <w:pPr>
              <w:tabs>
                <w:tab w:val="left" w:pos="0"/>
              </w:tabs>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0C39C2" w:rsidRPr="00E51681" w14:paraId="38FD202E" w14:textId="77777777" w:rsidTr="007A3F3C">
        <w:trPr>
          <w:trHeight w:val="960"/>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264BF422" w14:textId="77777777" w:rsidR="000C39C2" w:rsidRPr="00E51681" w:rsidRDefault="000C39C2" w:rsidP="00AB36DD">
            <w:pPr>
              <w:numPr>
                <w:ilvl w:val="0"/>
                <w:numId w:val="1"/>
              </w:numPr>
              <w:tabs>
                <w:tab w:val="left" w:pos="426"/>
              </w:tabs>
              <w:spacing w:after="0" w:line="240" w:lineRule="auto"/>
              <w:ind w:left="142"/>
              <w:rPr>
                <w:rFonts w:ascii="Times New Roman" w:hAnsi="Times New Roman" w:cs="Times New Roman"/>
                <w:sz w:val="24"/>
                <w:szCs w:val="24"/>
                <w:lang w:eastAsia="lv-LV"/>
              </w:rPr>
            </w:pPr>
            <w:r w:rsidRPr="00E51681">
              <w:rPr>
                <w:rFonts w:ascii="Times New Roman" w:hAnsi="Times New Roman" w:cs="Times New Roman"/>
                <w:sz w:val="24"/>
                <w:szCs w:val="24"/>
                <w:lang w:eastAsia="lv-LV"/>
              </w:rPr>
              <w:t>3.Sociālā ietekme uz vidi, iedzīvotāju veselību, uzņēmējdarbības vidi pašvaldības teritorijā, kā arī plānotā regulējuma ietekme uz konkurenci</w:t>
            </w:r>
          </w:p>
        </w:tc>
        <w:tc>
          <w:tcPr>
            <w:tcW w:w="3088" w:type="pct"/>
            <w:tcBorders>
              <w:top w:val="outset" w:sz="6" w:space="0" w:color="auto"/>
              <w:left w:val="outset" w:sz="6" w:space="0" w:color="auto"/>
              <w:bottom w:val="outset" w:sz="6" w:space="0" w:color="auto"/>
              <w:right w:val="outset" w:sz="6" w:space="0" w:color="auto"/>
            </w:tcBorders>
          </w:tcPr>
          <w:p w14:paraId="61822EF5" w14:textId="77777777" w:rsidR="000C39C2" w:rsidRDefault="00F94563" w:rsidP="00AB36DD">
            <w:pPr>
              <w:rPr>
                <w:rFonts w:ascii="Times New Roman" w:hAnsi="Times New Roman" w:cs="Times New Roman"/>
                <w:sz w:val="24"/>
                <w:szCs w:val="24"/>
                <w:lang w:eastAsia="lv-LV"/>
              </w:rPr>
            </w:pPr>
            <w:r w:rsidRPr="00F94563">
              <w:rPr>
                <w:rFonts w:ascii="Times New Roman" w:hAnsi="Times New Roman" w:cs="Times New Roman"/>
                <w:sz w:val="24"/>
                <w:szCs w:val="24"/>
                <w:lang w:eastAsia="lv-LV"/>
              </w:rPr>
              <w:t>Saistošo noteikumu piemērošana samazinās azartspēļu atkarības rašanās risku un azartspēļu atkarības sekas. Sabiedrības dzīvesveidam, kultūrai, labsajūtai vajadzētu uzlaboties. Pozitīvās ietekmes nerašanās risks - azartspēļu atkarības riskam cilvēki varētu atrast citus ceļus, kādos rasties problemātiskam spēlēšanas paradumam (piemēram, azartspēles tīmeklī). Azartspēļu rīkošanu tīmeklī var ierobežot tiešās pārvaldes institūcijas un likumdevējs.</w:t>
            </w:r>
          </w:p>
          <w:p w14:paraId="460B94B9" w14:textId="29E34FC8" w:rsidR="00B41A9D" w:rsidRPr="00B41A9D" w:rsidRDefault="00B41A9D" w:rsidP="00B41A9D">
            <w:pPr>
              <w:rPr>
                <w:rFonts w:ascii="Times New Roman" w:hAnsi="Times New Roman" w:cs="Times New Roman"/>
                <w:sz w:val="24"/>
                <w:szCs w:val="24"/>
                <w:lang w:eastAsia="lv-LV"/>
              </w:rPr>
            </w:pPr>
            <w:r w:rsidRPr="00B41A9D">
              <w:rPr>
                <w:rFonts w:ascii="Times New Roman" w:hAnsi="Times New Roman" w:cs="Times New Roman"/>
                <w:sz w:val="24"/>
                <w:szCs w:val="24"/>
                <w:lang w:eastAsia="lv-LV"/>
              </w:rPr>
              <w:t xml:space="preserve">Pētījumā norādīts, ka "Eksperti intervijās norāda, ka procesu atkarība bieži ir cieši saistīta ar vielu atkarības procesiem. Te jānorāda, ka saikne var būt gan saistīta ar personas noslieci uz atkarību, jo tām ir vienots </w:t>
            </w:r>
            <w:proofErr w:type="spellStart"/>
            <w:r w:rsidRPr="00B41A9D">
              <w:rPr>
                <w:rFonts w:ascii="Times New Roman" w:hAnsi="Times New Roman" w:cs="Times New Roman"/>
                <w:sz w:val="24"/>
                <w:szCs w:val="24"/>
                <w:lang w:eastAsia="lv-LV"/>
              </w:rPr>
              <w:t>patofizioloģiskais</w:t>
            </w:r>
            <w:proofErr w:type="spellEnd"/>
            <w:r w:rsidRPr="00B41A9D">
              <w:rPr>
                <w:rFonts w:ascii="Times New Roman" w:hAnsi="Times New Roman" w:cs="Times New Roman"/>
                <w:sz w:val="24"/>
                <w:szCs w:val="24"/>
                <w:lang w:eastAsia="lv-LV"/>
              </w:rPr>
              <w:t xml:space="preserve"> mehānisms, gan tās sociālu un kulturālu veicināšanu, piemēram, ar spēļu zāles un kazino kultūru, netieši veicinot alkohola lietošanu (piemēram, alkohola diennakts pieejamību ar zemākām cenām) un smēķēšanu (ar iespēju smēķēt azartspēļu zālēs speciāli ierādītās telpās, </w:t>
            </w:r>
            <w:r w:rsidRPr="00B41A9D">
              <w:rPr>
                <w:rFonts w:ascii="Times New Roman" w:hAnsi="Times New Roman" w:cs="Times New Roman"/>
                <w:sz w:val="24"/>
                <w:szCs w:val="24"/>
                <w:lang w:eastAsia="lv-LV"/>
              </w:rPr>
              <w:lastRenderedPageBreak/>
              <w:t>neizejot no azartspēļu zāles) ar dzērienu un tabakas izstrādājumu piedāvāšanu.</w:t>
            </w:r>
            <w:r w:rsidR="0021673D">
              <w:rPr>
                <w:rStyle w:val="FootnoteReference"/>
                <w:rFonts w:ascii="Times New Roman" w:hAnsi="Times New Roman" w:cs="Times New Roman"/>
                <w:sz w:val="24"/>
                <w:szCs w:val="24"/>
                <w:lang w:eastAsia="lv-LV"/>
              </w:rPr>
              <w:footnoteReference w:id="15"/>
            </w:r>
            <w:r w:rsidRPr="00B41A9D">
              <w:rPr>
                <w:rFonts w:ascii="Times New Roman" w:hAnsi="Times New Roman" w:cs="Times New Roman"/>
                <w:sz w:val="24"/>
                <w:szCs w:val="24"/>
                <w:lang w:eastAsia="lv-LV"/>
              </w:rPr>
              <w:t>"</w:t>
            </w:r>
          </w:p>
          <w:p w14:paraId="4ABC2739" w14:textId="77777777" w:rsidR="00B41A9D" w:rsidRDefault="00B41A9D" w:rsidP="00B41A9D">
            <w:pPr>
              <w:rPr>
                <w:rFonts w:ascii="Times New Roman" w:hAnsi="Times New Roman" w:cs="Times New Roman"/>
                <w:sz w:val="24"/>
                <w:szCs w:val="24"/>
                <w:lang w:eastAsia="lv-LV"/>
              </w:rPr>
            </w:pPr>
            <w:r w:rsidRPr="00B41A9D">
              <w:rPr>
                <w:rFonts w:ascii="Times New Roman" w:hAnsi="Times New Roman" w:cs="Times New Roman"/>
                <w:sz w:val="24"/>
                <w:szCs w:val="24"/>
                <w:lang w:eastAsia="lv-LV"/>
              </w:rPr>
              <w:t>Ņemot vērā minēto, samazinoties azartspēļu atkarības rašanās risku, sagaidāms, ka samazināsies arī alkohola lietošanas un smēķēšanas ietekme uz cilvēku veselību.</w:t>
            </w:r>
          </w:p>
          <w:p w14:paraId="2EEF9A3F" w14:textId="2FADFFCF" w:rsidR="00BE3884" w:rsidRPr="00F94563" w:rsidRDefault="00BE3884" w:rsidP="00B41A9D">
            <w:pPr>
              <w:rPr>
                <w:rFonts w:ascii="Times New Roman" w:hAnsi="Times New Roman" w:cs="Times New Roman"/>
                <w:sz w:val="24"/>
                <w:szCs w:val="24"/>
                <w:lang w:eastAsia="lv-LV"/>
              </w:rPr>
            </w:pPr>
            <w:r w:rsidRPr="00BE3884">
              <w:rPr>
                <w:rFonts w:ascii="Times New Roman" w:hAnsi="Times New Roman" w:cs="Times New Roman"/>
                <w:sz w:val="24"/>
                <w:szCs w:val="24"/>
                <w:lang w:eastAsia="lv-LV"/>
              </w:rPr>
              <w:t xml:space="preserve">Saistošo noteikumu tiesiskā regulējuma </w:t>
            </w:r>
            <w:proofErr w:type="spellStart"/>
            <w:r w:rsidRPr="00BE3884">
              <w:rPr>
                <w:rFonts w:ascii="Times New Roman" w:hAnsi="Times New Roman" w:cs="Times New Roman"/>
                <w:sz w:val="24"/>
                <w:szCs w:val="24"/>
                <w:lang w:eastAsia="lv-LV"/>
              </w:rPr>
              <w:t>mērķgrupa</w:t>
            </w:r>
            <w:proofErr w:type="spellEnd"/>
            <w:r w:rsidRPr="00BE3884">
              <w:rPr>
                <w:rFonts w:ascii="Times New Roman" w:hAnsi="Times New Roman" w:cs="Times New Roman"/>
                <w:sz w:val="24"/>
                <w:szCs w:val="24"/>
                <w:lang w:eastAsia="lv-LV"/>
              </w:rPr>
              <w:t xml:space="preserve"> ir personas, kuras pakļautas azartspēļu atkarības rašanās riskam, kā arī personas, kuras ietekmē šādas personas (tuvinieki, darba devēji), un azartspēļu organizētāji.</w:t>
            </w:r>
          </w:p>
        </w:tc>
      </w:tr>
      <w:tr w:rsidR="000C39C2" w:rsidRPr="00E51681" w14:paraId="1D1F32F7" w14:textId="77777777" w:rsidTr="007A3F3C">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61C84E83" w14:textId="77777777" w:rsidR="000C39C2" w:rsidRPr="00E51681" w:rsidRDefault="000C39C2" w:rsidP="00AB36DD">
            <w:pPr>
              <w:tabs>
                <w:tab w:val="left" w:pos="426"/>
              </w:tabs>
              <w:rPr>
                <w:rFonts w:ascii="Times New Roman" w:hAnsi="Times New Roman" w:cs="Times New Roman"/>
                <w:sz w:val="24"/>
                <w:szCs w:val="24"/>
                <w:lang w:eastAsia="lv-LV"/>
              </w:rPr>
            </w:pPr>
            <w:r w:rsidRPr="00E51681">
              <w:rPr>
                <w:rFonts w:ascii="Times New Roman" w:hAnsi="Times New Roman" w:cs="Times New Roman"/>
                <w:sz w:val="24"/>
                <w:szCs w:val="24"/>
                <w:lang w:eastAsia="lv-LV"/>
              </w:rPr>
              <w:lastRenderedPageBreak/>
              <w:t xml:space="preserve">4. </w:t>
            </w:r>
            <w:r w:rsidRPr="00E51681">
              <w:rPr>
                <w:rFonts w:ascii="Times New Roman" w:hAnsi="Times New Roman" w:cs="Times New Roman"/>
                <w:bCs/>
                <w:sz w:val="24"/>
                <w:szCs w:val="24"/>
              </w:rPr>
              <w:t>Ietekme uz administratīvajām procedūrām un to izmaksām</w:t>
            </w:r>
          </w:p>
        </w:tc>
        <w:tc>
          <w:tcPr>
            <w:tcW w:w="3088" w:type="pct"/>
            <w:tcBorders>
              <w:top w:val="outset" w:sz="6" w:space="0" w:color="auto"/>
              <w:left w:val="outset" w:sz="6" w:space="0" w:color="auto"/>
              <w:bottom w:val="outset" w:sz="6" w:space="0" w:color="auto"/>
              <w:right w:val="outset" w:sz="6" w:space="0" w:color="auto"/>
            </w:tcBorders>
          </w:tcPr>
          <w:p w14:paraId="14A51B90" w14:textId="39F8398F" w:rsidR="000C39C2" w:rsidRPr="00E51681" w:rsidRDefault="00DA05F5" w:rsidP="00C806B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Nav attiecināms</w:t>
            </w:r>
          </w:p>
        </w:tc>
      </w:tr>
      <w:tr w:rsidR="000C39C2" w:rsidRPr="00E51681" w14:paraId="535D825A" w14:textId="77777777" w:rsidTr="007A3F3C">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50F2E46D" w14:textId="77777777" w:rsidR="000C39C2" w:rsidRPr="00E51681" w:rsidRDefault="000C39C2" w:rsidP="00AB36DD">
            <w:pPr>
              <w:tabs>
                <w:tab w:val="left" w:pos="426"/>
              </w:tabs>
              <w:rPr>
                <w:rFonts w:ascii="Times New Roman" w:hAnsi="Times New Roman" w:cs="Times New Roman"/>
                <w:sz w:val="24"/>
                <w:szCs w:val="24"/>
                <w:lang w:eastAsia="lv-LV"/>
              </w:rPr>
            </w:pPr>
            <w:r w:rsidRPr="00E51681">
              <w:rPr>
                <w:rFonts w:ascii="Times New Roman" w:hAnsi="Times New Roman" w:cs="Times New Roman"/>
                <w:sz w:val="24"/>
                <w:szCs w:val="24"/>
                <w:lang w:eastAsia="lv-LV"/>
              </w:rPr>
              <w:t>5. Ietekme uz pašvaldības funkcijām un cilvēkresursiem</w:t>
            </w:r>
          </w:p>
        </w:tc>
        <w:tc>
          <w:tcPr>
            <w:tcW w:w="3088" w:type="pct"/>
            <w:tcBorders>
              <w:top w:val="outset" w:sz="6" w:space="0" w:color="auto"/>
              <w:left w:val="outset" w:sz="6" w:space="0" w:color="auto"/>
              <w:bottom w:val="outset" w:sz="6" w:space="0" w:color="auto"/>
              <w:right w:val="outset" w:sz="6" w:space="0" w:color="auto"/>
            </w:tcBorders>
          </w:tcPr>
          <w:p w14:paraId="5784E130" w14:textId="77777777" w:rsidR="005A65B4" w:rsidRDefault="00DA05F5" w:rsidP="00C806BD">
            <w:pPr>
              <w:spacing w:after="0" w:line="240" w:lineRule="auto"/>
              <w:jc w:val="both"/>
              <w:rPr>
                <w:rFonts w:ascii="Times New Roman" w:hAnsi="Times New Roman" w:cs="Times New Roman"/>
                <w:sz w:val="24"/>
                <w:szCs w:val="24"/>
                <w:lang w:eastAsia="lv-LV"/>
              </w:rPr>
            </w:pPr>
            <w:r w:rsidRPr="00DA05F5">
              <w:rPr>
                <w:rFonts w:ascii="Times New Roman" w:hAnsi="Times New Roman" w:cs="Times New Roman"/>
                <w:sz w:val="24"/>
                <w:szCs w:val="24"/>
                <w:lang w:eastAsia="lv-LV"/>
              </w:rPr>
              <w:t>Pašvaldību likuma 4. panta pirmās daļas 6. punkts (gādāt par iedzīvotāju veselību - īstenot veselīga dzīvesveida veicināšanas pasākumus un organizēt veselības aprūpes pakalpojumu pieejamību), 4. panta pirmās daļas 9. punkts (nodrošināt iedzīvotājiem atbalstu sociālo problēmu risināšanā, kā arī iespēju saņemt sociālo palīdzību un sociālos pakalpojumus), 4. panta pirmās daļas 14. punkts (piedalīties sabiedriskās kārtības un drošības nodrošināšanā, tostarp izveidojot un finansējot pašvaldības policiju), Likuma 42. panta desmitā daļa (pašvaldībai ir tiesības izdot saistošos noteikumus, ar kuriem tiek noteiktas vietas un teritorijas, kurās azartspēles nav atļauts organizēt).</w:t>
            </w:r>
          </w:p>
          <w:p w14:paraId="4A2A49C9" w14:textId="3F0F3F6B" w:rsidR="00DA05F5" w:rsidRPr="00E51681" w:rsidRDefault="00DA05F5" w:rsidP="00C806BD">
            <w:pPr>
              <w:spacing w:after="0" w:line="240" w:lineRule="auto"/>
              <w:jc w:val="both"/>
              <w:rPr>
                <w:rFonts w:ascii="Times New Roman" w:hAnsi="Times New Roman" w:cs="Times New Roman"/>
                <w:sz w:val="24"/>
                <w:szCs w:val="24"/>
                <w:lang w:eastAsia="lv-LV"/>
              </w:rPr>
            </w:pPr>
            <w:r w:rsidRPr="00DA05F5">
              <w:rPr>
                <w:rFonts w:ascii="Times New Roman" w:hAnsi="Times New Roman" w:cs="Times New Roman"/>
                <w:sz w:val="24"/>
                <w:szCs w:val="24"/>
                <w:lang w:eastAsia="lv-LV"/>
              </w:rPr>
              <w:t>Nav paredzēts uzlikt jaunus pienākumus vai uzdevumus esošajiem darbiniekiem, veidot jaunas darba vietas u.tml.</w:t>
            </w:r>
          </w:p>
        </w:tc>
      </w:tr>
      <w:tr w:rsidR="000C39C2" w:rsidRPr="00E51681" w14:paraId="247E0D73" w14:textId="77777777" w:rsidTr="00D66BE7">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455EAAD6" w14:textId="77777777" w:rsidR="000C39C2" w:rsidRPr="00E51681" w:rsidRDefault="000C39C2" w:rsidP="00AB36DD">
            <w:pPr>
              <w:tabs>
                <w:tab w:val="left" w:pos="426"/>
              </w:tabs>
              <w:rPr>
                <w:rFonts w:ascii="Times New Roman" w:hAnsi="Times New Roman" w:cs="Times New Roman"/>
                <w:sz w:val="24"/>
                <w:szCs w:val="24"/>
                <w:lang w:eastAsia="lv-LV"/>
              </w:rPr>
            </w:pPr>
            <w:r w:rsidRPr="00E51681">
              <w:rPr>
                <w:rFonts w:ascii="Times New Roman" w:hAnsi="Times New Roman" w:cs="Times New Roman"/>
                <w:sz w:val="24"/>
                <w:szCs w:val="24"/>
                <w:lang w:eastAsia="lv-LV"/>
              </w:rPr>
              <w:t>6. Informācija par izpildes nodrošināšanu</w:t>
            </w:r>
          </w:p>
        </w:tc>
        <w:tc>
          <w:tcPr>
            <w:tcW w:w="3088" w:type="pct"/>
            <w:tcBorders>
              <w:top w:val="outset" w:sz="6" w:space="0" w:color="auto"/>
              <w:left w:val="outset" w:sz="6" w:space="0" w:color="auto"/>
              <w:bottom w:val="outset" w:sz="6" w:space="0" w:color="auto"/>
              <w:right w:val="outset" w:sz="6" w:space="0" w:color="auto"/>
            </w:tcBorders>
          </w:tcPr>
          <w:p w14:paraId="538B5D10" w14:textId="2E3FE82A" w:rsidR="000C39C2" w:rsidRPr="00DA05F5" w:rsidRDefault="00DA05F5" w:rsidP="00AB36DD">
            <w:pPr>
              <w:autoSpaceDE w:val="0"/>
              <w:autoSpaceDN w:val="0"/>
              <w:adjustRightInd w:val="0"/>
              <w:jc w:val="both"/>
              <w:rPr>
                <w:rFonts w:ascii="Times New Roman" w:hAnsi="Times New Roman" w:cs="Times New Roman"/>
                <w:sz w:val="24"/>
                <w:szCs w:val="24"/>
                <w:lang w:eastAsia="lv-LV"/>
              </w:rPr>
            </w:pPr>
            <w:r w:rsidRPr="00DA05F5">
              <w:rPr>
                <w:rFonts w:ascii="Times New Roman" w:hAnsi="Times New Roman" w:cs="Times New Roman"/>
                <w:sz w:val="24"/>
                <w:szCs w:val="24"/>
                <w:lang w:eastAsia="lv-LV"/>
              </w:rPr>
              <w:t>Saskaņā ar Likuma 90. pantu administratīvā pārkāpuma procesu par Likumā minētajiem pārkāpumiem veic Izložu un azartspēļu uzraudzības inspekcija. Nav paredzēta jaunu institūciju izveide, esošo likvidācija vai reorganizācija.</w:t>
            </w:r>
          </w:p>
        </w:tc>
      </w:tr>
      <w:tr w:rsidR="000C39C2" w:rsidRPr="00E51681" w14:paraId="594A67A7" w14:textId="77777777" w:rsidTr="00D66BE7">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12D6B811" w14:textId="77777777" w:rsidR="000C39C2" w:rsidRPr="00E51681" w:rsidRDefault="000C39C2" w:rsidP="00AB36DD">
            <w:pPr>
              <w:tabs>
                <w:tab w:val="left" w:pos="426"/>
              </w:tabs>
              <w:rPr>
                <w:rFonts w:ascii="Times New Roman" w:hAnsi="Times New Roman" w:cs="Times New Roman"/>
                <w:sz w:val="24"/>
                <w:szCs w:val="24"/>
                <w:lang w:eastAsia="lv-LV"/>
              </w:rPr>
            </w:pPr>
            <w:r w:rsidRPr="00E51681">
              <w:rPr>
                <w:rFonts w:ascii="Times New Roman" w:hAnsi="Times New Roman" w:cs="Times New Roman"/>
                <w:sz w:val="24"/>
                <w:szCs w:val="24"/>
                <w:lang w:eastAsia="lv-LV"/>
              </w:rPr>
              <w:t>7.Prasību un izmaksu samērīgums pret ieguvumiem, ko sniedz mērķa sasniegšana</w:t>
            </w:r>
          </w:p>
        </w:tc>
        <w:tc>
          <w:tcPr>
            <w:tcW w:w="3088" w:type="pct"/>
            <w:tcBorders>
              <w:top w:val="outset" w:sz="6" w:space="0" w:color="auto"/>
              <w:left w:val="outset" w:sz="6" w:space="0" w:color="auto"/>
              <w:bottom w:val="outset" w:sz="6" w:space="0" w:color="auto"/>
              <w:right w:val="outset" w:sz="6" w:space="0" w:color="auto"/>
            </w:tcBorders>
          </w:tcPr>
          <w:p w14:paraId="50CED358" w14:textId="77777777" w:rsidR="000C39C2" w:rsidRPr="00DA05F5" w:rsidRDefault="00DA05F5" w:rsidP="00C806BD">
            <w:pPr>
              <w:autoSpaceDE w:val="0"/>
              <w:autoSpaceDN w:val="0"/>
              <w:adjustRightInd w:val="0"/>
              <w:spacing w:after="0" w:line="240" w:lineRule="auto"/>
              <w:jc w:val="both"/>
              <w:rPr>
                <w:rFonts w:ascii="Times New Roman" w:hAnsi="Times New Roman" w:cs="Times New Roman"/>
                <w:color w:val="414142"/>
                <w:sz w:val="24"/>
                <w:szCs w:val="24"/>
                <w:shd w:val="clear" w:color="auto" w:fill="FFFFFF"/>
              </w:rPr>
            </w:pPr>
            <w:r w:rsidRPr="00DA05F5">
              <w:rPr>
                <w:rFonts w:ascii="Times New Roman" w:hAnsi="Times New Roman" w:cs="Times New Roman"/>
                <w:color w:val="414142"/>
                <w:sz w:val="24"/>
                <w:szCs w:val="24"/>
                <w:shd w:val="clear" w:color="auto" w:fill="FFFFFF"/>
              </w:rPr>
              <w:t>Ņemot vērā, ka nav konstatētas piemērotas alternatīvas, kas ļautu pašvaldībai samazināt azartspēļu atkarības rašanās risku, secināms, ka saistoši noteikumi ir piemēroti iecerētā mērķa sasniegšanas nodrošināšanai un paredz tikai to, kas ir vajadzīgs minētā mērķa sasniegšanai.</w:t>
            </w:r>
          </w:p>
          <w:p w14:paraId="0C0EF120" w14:textId="305BF7BB" w:rsidR="00DA05F5" w:rsidRPr="00DA05F5" w:rsidRDefault="000C1159" w:rsidP="00DA05F5">
            <w:pPr>
              <w:pStyle w:val="NormalWeb"/>
              <w:shd w:val="clear" w:color="auto" w:fill="FFFFFF"/>
              <w:spacing w:line="293" w:lineRule="atLeast"/>
              <w:rPr>
                <w:color w:val="414142"/>
              </w:rPr>
            </w:pPr>
            <w:r>
              <w:rPr>
                <w:color w:val="414142"/>
              </w:rPr>
              <w:t>P</w:t>
            </w:r>
            <w:r w:rsidR="00DA05F5" w:rsidRPr="00DA05F5">
              <w:rPr>
                <w:color w:val="414142"/>
              </w:rPr>
              <w:t>ašvaldības ieskatā azartspēļu atkarības riska rašanās samazināšana ir būtiskāka par azartspēļu organizatoru interesēm. Azartspēles nav uzskatāmas par ienākumu gūšanas veidu, nesniedz būtisku un izmērāmu labumu sabiedrībai, bet rada būtiskus izmērāmus riskus sabiedrībai.</w:t>
            </w:r>
          </w:p>
          <w:p w14:paraId="4C1EEBD7" w14:textId="74492E0E" w:rsidR="00DA05F5" w:rsidRPr="00E51681" w:rsidRDefault="00DA05F5" w:rsidP="00C806B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r>
      <w:tr w:rsidR="000C39C2" w:rsidRPr="00E51681" w14:paraId="47899CBA" w14:textId="77777777" w:rsidTr="00D66BE7">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167755A0" w14:textId="77777777" w:rsidR="000C39C2" w:rsidRPr="00E51681" w:rsidRDefault="000C39C2" w:rsidP="00AB36DD">
            <w:pPr>
              <w:tabs>
                <w:tab w:val="left" w:pos="426"/>
              </w:tabs>
              <w:rPr>
                <w:rFonts w:ascii="Times New Roman" w:hAnsi="Times New Roman" w:cs="Times New Roman"/>
                <w:sz w:val="24"/>
                <w:szCs w:val="24"/>
                <w:lang w:eastAsia="lv-LV"/>
              </w:rPr>
            </w:pPr>
            <w:r w:rsidRPr="00E51681">
              <w:rPr>
                <w:rFonts w:ascii="Times New Roman" w:hAnsi="Times New Roman" w:cs="Times New Roman"/>
                <w:sz w:val="24"/>
                <w:szCs w:val="24"/>
                <w:lang w:eastAsia="lv-LV"/>
              </w:rPr>
              <w:lastRenderedPageBreak/>
              <w:t>8.Izstrādes gaitā veiktās konsultācijas ar privātpersonām un institūcijām</w:t>
            </w:r>
          </w:p>
        </w:tc>
        <w:tc>
          <w:tcPr>
            <w:tcW w:w="3088" w:type="pct"/>
            <w:tcBorders>
              <w:top w:val="outset" w:sz="6" w:space="0" w:color="auto"/>
              <w:left w:val="outset" w:sz="6" w:space="0" w:color="auto"/>
              <w:bottom w:val="outset" w:sz="6" w:space="0" w:color="auto"/>
              <w:right w:val="outset" w:sz="6" w:space="0" w:color="auto"/>
            </w:tcBorders>
          </w:tcPr>
          <w:p w14:paraId="572BD4A5" w14:textId="7E9E7459" w:rsidR="000C39C2" w:rsidRPr="00C806BD" w:rsidRDefault="000C1159" w:rsidP="00C806B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C1159">
              <w:rPr>
                <w:rFonts w:ascii="Times New Roman" w:eastAsia="Times New Roman" w:hAnsi="Times New Roman" w:cs="Times New Roman"/>
                <w:sz w:val="24"/>
                <w:szCs w:val="24"/>
                <w:lang w:eastAsia="lv-LV"/>
              </w:rPr>
              <w:t>Saistošo noteikumu projektu un tam pievienoto paskaidrojuma rakstu pašvaldības nolikumā noteiktajā kārtībā publicēja pašvaldības oficiālajā tīmekļvietnē sabiedrības viedokļa noskaidrošanai, paredzot termiņu, kas nav mazāks par divām nedēļām.</w:t>
            </w:r>
          </w:p>
        </w:tc>
      </w:tr>
    </w:tbl>
    <w:p w14:paraId="054E5CCC" w14:textId="77777777" w:rsidR="000C39C2" w:rsidRPr="00E51681" w:rsidRDefault="000C39C2" w:rsidP="000C39C2">
      <w:pPr>
        <w:spacing w:after="0" w:line="240" w:lineRule="auto"/>
        <w:rPr>
          <w:rFonts w:ascii="Times New Roman" w:eastAsia="Calibri" w:hAnsi="Times New Roman" w:cs="Times New Roman"/>
          <w:sz w:val="24"/>
          <w:szCs w:val="24"/>
        </w:rPr>
      </w:pPr>
    </w:p>
    <w:p w14:paraId="2A4AADB1" w14:textId="77777777" w:rsidR="000C39C2" w:rsidRPr="00E51681" w:rsidRDefault="000C39C2" w:rsidP="000C39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51681">
        <w:rPr>
          <w:rFonts w:ascii="Times New Roman" w:eastAsia="Calibri" w:hAnsi="Times New Roman" w:cs="Times New Roman"/>
          <w:sz w:val="24"/>
          <w:szCs w:val="24"/>
        </w:rPr>
        <w:t>Domes priekšsēdētājs</w:t>
      </w:r>
      <w:r w:rsidRPr="00E51681">
        <w:rPr>
          <w:rFonts w:ascii="Times New Roman" w:eastAsia="Times New Roman" w:hAnsi="Times New Roman" w:cs="Times New Roman"/>
          <w:sz w:val="24"/>
          <w:szCs w:val="24"/>
        </w:rPr>
        <w:t>:</w:t>
      </w:r>
      <w:r w:rsidRPr="00E51681">
        <w:rPr>
          <w:rFonts w:ascii="Times New Roman" w:eastAsia="Times New Roman" w:hAnsi="Times New Roman" w:cs="Times New Roman"/>
          <w:sz w:val="24"/>
          <w:szCs w:val="24"/>
        </w:rPr>
        <w:tab/>
        <w:t xml:space="preserve">            (PARAKSTS*)          </w:t>
      </w:r>
      <w:r w:rsidRPr="00E51681">
        <w:rPr>
          <w:rFonts w:ascii="Times New Roman" w:eastAsia="Times New Roman" w:hAnsi="Times New Roman" w:cs="Times New Roman"/>
          <w:sz w:val="24"/>
          <w:szCs w:val="24"/>
        </w:rPr>
        <w:tab/>
        <w:t xml:space="preserve">                                                </w:t>
      </w:r>
      <w:proofErr w:type="spellStart"/>
      <w:r w:rsidRPr="00E51681">
        <w:rPr>
          <w:rFonts w:ascii="Times New Roman" w:eastAsia="Times New Roman" w:hAnsi="Times New Roman" w:cs="Times New Roman"/>
          <w:sz w:val="24"/>
          <w:szCs w:val="24"/>
        </w:rPr>
        <w:t>J.Žilko</w:t>
      </w:r>
      <w:proofErr w:type="spellEnd"/>
    </w:p>
    <w:p w14:paraId="0DF61FE4" w14:textId="77777777" w:rsidR="000C39C2" w:rsidRPr="00E51681" w:rsidRDefault="000C39C2" w:rsidP="000C39C2">
      <w:pPr>
        <w:spacing w:after="0" w:line="240" w:lineRule="auto"/>
        <w:rPr>
          <w:rFonts w:ascii="Times New Roman" w:eastAsia="Calibri" w:hAnsi="Times New Roman" w:cs="Times New Roman"/>
          <w:b/>
          <w:sz w:val="24"/>
          <w:szCs w:val="24"/>
          <w:lang w:eastAsia="lv-LV"/>
        </w:rPr>
      </w:pPr>
    </w:p>
    <w:p w14:paraId="36323755" w14:textId="77777777" w:rsidR="000C39C2" w:rsidRPr="00C806BD" w:rsidRDefault="000C39C2" w:rsidP="000C39C2">
      <w:pPr>
        <w:spacing w:after="0" w:line="240" w:lineRule="auto"/>
        <w:rPr>
          <w:rFonts w:ascii="Times New Roman" w:eastAsia="Calibri" w:hAnsi="Times New Roman" w:cs="Times New Roman"/>
          <w:bCs/>
          <w:sz w:val="24"/>
          <w:szCs w:val="24"/>
          <w:lang w:eastAsia="lv-LV"/>
        </w:rPr>
      </w:pPr>
      <w:r w:rsidRPr="00C806BD">
        <w:rPr>
          <w:rFonts w:ascii="Times New Roman" w:eastAsia="Calibri" w:hAnsi="Times New Roman" w:cs="Times New Roman"/>
          <w:bCs/>
          <w:sz w:val="24"/>
          <w:szCs w:val="24"/>
          <w:lang w:eastAsia="lv-LV"/>
        </w:rPr>
        <w:t xml:space="preserve">*ŠIS  DOKUMENTS  IR  ELEKTRONISKI  PARAKSTĪTS  AR  DROŠU </w:t>
      </w:r>
    </w:p>
    <w:p w14:paraId="3F8198FC" w14:textId="77777777" w:rsidR="000C39C2" w:rsidRPr="00C806BD" w:rsidRDefault="000C39C2" w:rsidP="000C39C2">
      <w:pPr>
        <w:spacing w:after="0" w:line="240" w:lineRule="auto"/>
        <w:rPr>
          <w:rFonts w:ascii="Times New Roman" w:eastAsia="Times New Roman" w:hAnsi="Times New Roman" w:cs="Times New Roman"/>
          <w:bCs/>
          <w:sz w:val="24"/>
          <w:szCs w:val="24"/>
          <w:lang w:eastAsia="lv-LV"/>
        </w:rPr>
      </w:pPr>
      <w:r w:rsidRPr="00C806BD">
        <w:rPr>
          <w:rFonts w:ascii="Times New Roman" w:eastAsia="Calibri" w:hAnsi="Times New Roman" w:cs="Times New Roman"/>
          <w:bCs/>
          <w:sz w:val="24"/>
          <w:szCs w:val="24"/>
          <w:lang w:eastAsia="lv-LV"/>
        </w:rPr>
        <w:t>ELEKTRONISKO  PARAKSTU  UN  SATUR  LAIKA  ZĪMOGU</w:t>
      </w:r>
    </w:p>
    <w:p w14:paraId="69D6E4F8" w14:textId="77777777" w:rsidR="000C39C2" w:rsidRPr="00E51681" w:rsidRDefault="000C39C2" w:rsidP="000C39C2">
      <w:pPr>
        <w:rPr>
          <w:rFonts w:ascii="Times New Roman" w:hAnsi="Times New Roman" w:cs="Times New Roman"/>
          <w:sz w:val="24"/>
          <w:szCs w:val="24"/>
        </w:rPr>
      </w:pPr>
    </w:p>
    <w:p w14:paraId="04F62F56" w14:textId="77777777" w:rsidR="005C073C" w:rsidRPr="00E51681" w:rsidRDefault="005C073C">
      <w:pPr>
        <w:rPr>
          <w:rFonts w:ascii="Times New Roman" w:hAnsi="Times New Roman" w:cs="Times New Roman"/>
          <w:sz w:val="24"/>
          <w:szCs w:val="24"/>
        </w:rPr>
      </w:pPr>
    </w:p>
    <w:sectPr w:rsidR="005C073C" w:rsidRPr="00E51681">
      <w:footerReference w:type="even" r:id="rId10"/>
      <w:footerReference w:type="default" r:id="rId11"/>
      <w:headerReference w:type="first" r:id="rId12"/>
      <w:footerReference w:type="first" r:id="rId13"/>
      <w:pgSz w:w="11906" w:h="16838"/>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023E" w14:textId="77777777" w:rsidR="00533786" w:rsidRDefault="00533786">
      <w:pPr>
        <w:spacing w:after="0" w:line="240" w:lineRule="auto"/>
      </w:pPr>
      <w:r>
        <w:separator/>
      </w:r>
    </w:p>
  </w:endnote>
  <w:endnote w:type="continuationSeparator" w:id="0">
    <w:p w14:paraId="230A442B" w14:textId="77777777" w:rsidR="00533786" w:rsidRDefault="0053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EDBC" w14:textId="77777777" w:rsidR="00E05160" w:rsidRDefault="00D66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81F37DD" w14:textId="77777777" w:rsidR="00E05160" w:rsidRDefault="00E05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1478"/>
    </w:sdtPr>
    <w:sdtContent>
      <w:p w14:paraId="01253626" w14:textId="77777777" w:rsidR="00E05160" w:rsidRDefault="00D66BE7">
        <w:pPr>
          <w:pStyle w:val="Footer"/>
          <w:jc w:val="center"/>
        </w:pPr>
        <w:r>
          <w:fldChar w:fldCharType="begin"/>
        </w:r>
        <w:r>
          <w:instrText xml:space="preserve"> PAGE   \* MERGEFORMAT </w:instrText>
        </w:r>
        <w:r>
          <w:fldChar w:fldCharType="separate"/>
        </w:r>
        <w:r>
          <w:t>2</w:t>
        </w:r>
        <w:r>
          <w:fldChar w:fldCharType="end"/>
        </w:r>
      </w:p>
    </w:sdtContent>
  </w:sdt>
  <w:p w14:paraId="0B9AFC17" w14:textId="77777777" w:rsidR="00E05160" w:rsidRDefault="00E051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519628"/>
    </w:sdtPr>
    <w:sdtContent>
      <w:p w14:paraId="2FA2C147" w14:textId="77777777" w:rsidR="00E05160" w:rsidRDefault="00000000">
        <w:pPr>
          <w:pStyle w:val="Footer"/>
          <w:jc w:val="center"/>
        </w:pPr>
      </w:p>
    </w:sdtContent>
  </w:sdt>
  <w:p w14:paraId="11DD90F8" w14:textId="77777777" w:rsidR="00E05160" w:rsidRDefault="00E0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9B3C" w14:textId="77777777" w:rsidR="00533786" w:rsidRDefault="00533786">
      <w:pPr>
        <w:spacing w:after="0" w:line="240" w:lineRule="auto"/>
      </w:pPr>
      <w:r>
        <w:separator/>
      </w:r>
    </w:p>
  </w:footnote>
  <w:footnote w:type="continuationSeparator" w:id="0">
    <w:p w14:paraId="3E9A1B7C" w14:textId="77777777" w:rsidR="00533786" w:rsidRDefault="00533786">
      <w:pPr>
        <w:spacing w:after="0" w:line="240" w:lineRule="auto"/>
      </w:pPr>
      <w:r>
        <w:continuationSeparator/>
      </w:r>
    </w:p>
  </w:footnote>
  <w:footnote w:id="1">
    <w:p w14:paraId="65C56452" w14:textId="33F8FAC7" w:rsidR="000F7554" w:rsidRDefault="000F7554">
      <w:pPr>
        <w:pStyle w:val="FootnoteText"/>
      </w:pPr>
      <w:r>
        <w:rPr>
          <w:rStyle w:val="FootnoteReference"/>
        </w:rPr>
        <w:footnoteRef/>
      </w:r>
      <w:r>
        <w:t xml:space="preserve"> </w:t>
      </w:r>
      <w:r>
        <w:rPr>
          <w:rFonts w:ascii="Arial" w:hAnsi="Arial" w:cs="Arial"/>
          <w:color w:val="414142"/>
          <w:shd w:val="clear" w:color="auto" w:fill="FFFFFF"/>
        </w:rPr>
        <w:t>https://esparveselibu.lv/sites/default/files/2020-04/Petijums-par-azartspelu-socialo-mediju-datorspelu-un-citu-procesu-atkaribu-izplatibu-Latvija.pdf</w:t>
      </w:r>
    </w:p>
  </w:footnote>
  <w:footnote w:id="2">
    <w:p w14:paraId="67AFF6A2" w14:textId="4EB01575" w:rsidR="000F7554" w:rsidRDefault="000F7554">
      <w:pPr>
        <w:pStyle w:val="FootnoteText"/>
      </w:pPr>
      <w:r>
        <w:rPr>
          <w:rStyle w:val="FootnoteReference"/>
        </w:rPr>
        <w:footnoteRef/>
      </w:r>
      <w:r>
        <w:t xml:space="preserve"> </w:t>
      </w:r>
      <w:r>
        <w:t>Turpat, 124. lpp.</w:t>
      </w:r>
    </w:p>
  </w:footnote>
  <w:footnote w:id="3">
    <w:p w14:paraId="7E741D0E" w14:textId="0F261E69" w:rsidR="000F7554" w:rsidRDefault="000F7554">
      <w:pPr>
        <w:pStyle w:val="FootnoteText"/>
      </w:pPr>
      <w:r>
        <w:rPr>
          <w:rStyle w:val="FootnoteReference"/>
        </w:rPr>
        <w:footnoteRef/>
      </w:r>
      <w:r>
        <w:t xml:space="preserve"> </w:t>
      </w:r>
      <w:r>
        <w:t>Turpat, 42. lpp.</w:t>
      </w:r>
    </w:p>
  </w:footnote>
  <w:footnote w:id="4">
    <w:p w14:paraId="647114B1" w14:textId="62566CA1" w:rsidR="000F7554" w:rsidRDefault="000F7554">
      <w:pPr>
        <w:pStyle w:val="FootnoteText"/>
      </w:pPr>
      <w:r>
        <w:rPr>
          <w:rStyle w:val="FootnoteReference"/>
        </w:rPr>
        <w:footnoteRef/>
      </w:r>
      <w:r>
        <w:t xml:space="preserve"> </w:t>
      </w:r>
      <w:r>
        <w:t>Turpat, 47. lpp.</w:t>
      </w:r>
    </w:p>
  </w:footnote>
  <w:footnote w:id="5">
    <w:p w14:paraId="1B68ABED" w14:textId="455BB65F" w:rsidR="000F7554" w:rsidRDefault="000F7554">
      <w:pPr>
        <w:pStyle w:val="FootnoteText"/>
      </w:pPr>
      <w:r>
        <w:rPr>
          <w:rStyle w:val="FootnoteReference"/>
        </w:rPr>
        <w:footnoteRef/>
      </w:r>
      <w:r>
        <w:t xml:space="preserve"> </w:t>
      </w:r>
      <w:r w:rsidR="00C77E0F">
        <w:rPr>
          <w:rFonts w:ascii="Arial" w:hAnsi="Arial" w:cs="Arial"/>
          <w:color w:val="414142"/>
          <w:shd w:val="clear" w:color="auto" w:fill="FFFFFF"/>
        </w:rPr>
        <w:t>https://likumi.lv/ta/id/324799-par-azartspelu-un-izlozu-politikas-pamatnostadnem-20212027-gadam</w:t>
      </w:r>
    </w:p>
  </w:footnote>
  <w:footnote w:id="6">
    <w:p w14:paraId="54406568" w14:textId="4B25869E" w:rsidR="00C77E0F" w:rsidRDefault="00C77E0F">
      <w:pPr>
        <w:pStyle w:val="FootnoteText"/>
      </w:pPr>
      <w:r>
        <w:rPr>
          <w:rStyle w:val="FootnoteReference"/>
        </w:rPr>
        <w:footnoteRef/>
      </w:r>
      <w:r>
        <w:t xml:space="preserve"> </w:t>
      </w:r>
      <w:r w:rsidRPr="00C77E0F">
        <w:t>Pētījuma 82. lpp.</w:t>
      </w:r>
    </w:p>
  </w:footnote>
  <w:footnote w:id="7">
    <w:p w14:paraId="577DC94C" w14:textId="20986972" w:rsidR="00C77E0F" w:rsidRDefault="00C77E0F">
      <w:pPr>
        <w:pStyle w:val="FootnoteText"/>
      </w:pPr>
      <w:r>
        <w:rPr>
          <w:rStyle w:val="FootnoteReference"/>
        </w:rPr>
        <w:footnoteRef/>
      </w:r>
      <w:r>
        <w:t xml:space="preserve"> </w:t>
      </w:r>
      <w:r>
        <w:t>Turpat.</w:t>
      </w:r>
    </w:p>
  </w:footnote>
  <w:footnote w:id="8">
    <w:p w14:paraId="02D1E519" w14:textId="2EFAC19A" w:rsidR="00C764AA" w:rsidRDefault="00C764AA">
      <w:pPr>
        <w:pStyle w:val="FootnoteText"/>
      </w:pPr>
      <w:r>
        <w:rPr>
          <w:rStyle w:val="FootnoteReference"/>
        </w:rPr>
        <w:footnoteRef/>
      </w:r>
      <w:r>
        <w:t xml:space="preserve"> </w:t>
      </w:r>
      <w:r>
        <w:rPr>
          <w:rFonts w:ascii="Arial" w:hAnsi="Arial" w:cs="Arial"/>
          <w:color w:val="414142"/>
          <w:shd w:val="clear" w:color="auto" w:fill="FFFFFF"/>
        </w:rPr>
        <w:t>Satversmes tiesas 2023. gada 20. aprīļa sprieduma lietā Nr. 2022-13-05 18. punkta pēdējā rindkopa.</w:t>
      </w:r>
    </w:p>
  </w:footnote>
  <w:footnote w:id="9">
    <w:p w14:paraId="12A4D8FA" w14:textId="0C6F902D" w:rsidR="00C764AA" w:rsidRDefault="00C764AA">
      <w:pPr>
        <w:pStyle w:val="FootnoteText"/>
      </w:pPr>
      <w:r>
        <w:rPr>
          <w:rStyle w:val="FootnoteReference"/>
        </w:rPr>
        <w:footnoteRef/>
      </w:r>
      <w:r>
        <w:t xml:space="preserve"> </w:t>
      </w:r>
      <w:r>
        <w:rPr>
          <w:rFonts w:ascii="Arial" w:hAnsi="Arial" w:cs="Arial"/>
          <w:color w:val="414142"/>
          <w:shd w:val="clear" w:color="auto" w:fill="FFFFFF"/>
        </w:rPr>
        <w:t>Satversmes tiesas 2023. gada 20. aprīļa sprieduma lietā Nr. 2022-13-05 20. punkta sestā rindkopa.</w:t>
      </w:r>
    </w:p>
  </w:footnote>
  <w:footnote w:id="10">
    <w:p w14:paraId="3703D367" w14:textId="19F2A34D" w:rsidR="00C764AA" w:rsidRDefault="00C764AA">
      <w:pPr>
        <w:pStyle w:val="FootnoteText"/>
      </w:pPr>
      <w:r>
        <w:rPr>
          <w:rStyle w:val="FootnoteReference"/>
        </w:rPr>
        <w:footnoteRef/>
      </w:r>
      <w:r>
        <w:t xml:space="preserve"> </w:t>
      </w:r>
      <w:r>
        <w:rPr>
          <w:rFonts w:ascii="Arial" w:hAnsi="Arial" w:cs="Arial"/>
          <w:color w:val="414142"/>
          <w:shd w:val="clear" w:color="auto" w:fill="FFFFFF"/>
        </w:rPr>
        <w:t>Satversmes tiesas 2023. gada 20. aprīļa sprieduma lietā Nr. 2022-13-05 20. punkta astotā rindkopa.</w:t>
      </w:r>
    </w:p>
  </w:footnote>
  <w:footnote w:id="11">
    <w:p w14:paraId="3705EADA" w14:textId="587BAF84" w:rsidR="00C764AA" w:rsidRDefault="00C764AA">
      <w:pPr>
        <w:pStyle w:val="FootnoteText"/>
      </w:pPr>
      <w:r>
        <w:rPr>
          <w:rStyle w:val="FootnoteReference"/>
        </w:rPr>
        <w:footnoteRef/>
      </w:r>
      <w:r>
        <w:t xml:space="preserve"> </w:t>
      </w:r>
      <w:r>
        <w:rPr>
          <w:rFonts w:ascii="Arial" w:hAnsi="Arial" w:cs="Arial"/>
          <w:color w:val="414142"/>
          <w:shd w:val="clear" w:color="auto" w:fill="FFFFFF"/>
        </w:rPr>
        <w:t>Satversmes tiesas 2023. gada 20. aprīļa sprieduma lietā Nr. 2022-13-05 20. punkta vienpadsmitā rindkopa</w:t>
      </w:r>
    </w:p>
  </w:footnote>
  <w:footnote w:id="12">
    <w:p w14:paraId="4EAB0E5F" w14:textId="4043DFF7" w:rsidR="004C62DB" w:rsidRDefault="004C62DB">
      <w:pPr>
        <w:pStyle w:val="FootnoteText"/>
      </w:pPr>
      <w:r>
        <w:rPr>
          <w:rStyle w:val="FootnoteReference"/>
        </w:rPr>
        <w:footnoteRef/>
      </w:r>
      <w:r>
        <w:t xml:space="preserve"> </w:t>
      </w:r>
      <w:r>
        <w:rPr>
          <w:rFonts w:ascii="Arial" w:hAnsi="Arial" w:cs="Arial"/>
          <w:color w:val="414142"/>
          <w:shd w:val="clear" w:color="auto" w:fill="FFFFFF"/>
        </w:rPr>
        <w:t>Satversmes tiesas 2023. gada 20. aprīļa sprieduma lietā Nr. 2022-13-05 20. punkta divpadsmitā rindkopa</w:t>
      </w:r>
    </w:p>
  </w:footnote>
  <w:footnote w:id="13">
    <w:p w14:paraId="5DA743DF" w14:textId="2DBF3BDD" w:rsidR="004C62DB" w:rsidRDefault="004C62DB">
      <w:pPr>
        <w:pStyle w:val="FootnoteText"/>
      </w:pPr>
      <w:r>
        <w:rPr>
          <w:rStyle w:val="FootnoteReference"/>
        </w:rPr>
        <w:footnoteRef/>
      </w:r>
      <w:r>
        <w:t xml:space="preserve"> </w:t>
      </w:r>
      <w:r>
        <w:rPr>
          <w:rFonts w:ascii="Arial" w:hAnsi="Arial" w:cs="Arial"/>
          <w:color w:val="414142"/>
          <w:shd w:val="clear" w:color="auto" w:fill="FFFFFF"/>
        </w:rPr>
        <w:t>Satversmes tiesas 2023. gada 20. aprīļa sprieduma lietā Nr. 2022-13-05 20. punkta četrpadsmitā rindkopa</w:t>
      </w:r>
    </w:p>
  </w:footnote>
  <w:footnote w:id="14">
    <w:p w14:paraId="12CE6BEC" w14:textId="022B6475" w:rsidR="00607D9B" w:rsidRDefault="00607D9B">
      <w:pPr>
        <w:pStyle w:val="FootnoteText"/>
      </w:pPr>
      <w:r>
        <w:rPr>
          <w:rStyle w:val="FootnoteReference"/>
        </w:rPr>
        <w:footnoteRef/>
      </w:r>
      <w:r>
        <w:t xml:space="preserve"> </w:t>
      </w:r>
      <w:r>
        <w:rPr>
          <w:rFonts w:ascii="Arial" w:hAnsi="Arial" w:cs="Arial"/>
          <w:color w:val="414142"/>
          <w:shd w:val="clear" w:color="auto" w:fill="FFFFFF"/>
        </w:rPr>
        <w:t>Pētījuma 143. lpp.</w:t>
      </w:r>
    </w:p>
  </w:footnote>
  <w:footnote w:id="15">
    <w:p w14:paraId="10786B46" w14:textId="5F85FD51" w:rsidR="0021673D" w:rsidRDefault="0021673D">
      <w:pPr>
        <w:pStyle w:val="FootnoteText"/>
      </w:pPr>
      <w:r>
        <w:rPr>
          <w:rStyle w:val="FootnoteReference"/>
        </w:rPr>
        <w:footnoteRef/>
      </w:r>
      <w:r>
        <w:t xml:space="preserve"> </w:t>
      </w:r>
      <w:r>
        <w:rPr>
          <w:rFonts w:ascii="Arial" w:hAnsi="Arial" w:cs="Arial"/>
          <w:color w:val="414142"/>
          <w:shd w:val="clear" w:color="auto" w:fill="FFFFFF"/>
        </w:rPr>
        <w:t>Pētījuma 82.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9E67" w14:textId="77777777" w:rsidR="00E05160" w:rsidRDefault="00D66BE7">
    <w:pPr>
      <w:ind w:left="1843" w:right="991"/>
      <w:jc w:val="center"/>
      <w:rPr>
        <w:rFonts w:ascii="Times New Roman" w:hAnsi="Times New Roman" w:cs="Times New Roman"/>
        <w:b/>
        <w:sz w:val="32"/>
        <w:szCs w:val="32"/>
      </w:rPr>
    </w:pPr>
    <w:r>
      <w:rPr>
        <w:rFonts w:ascii="Times New Roman" w:hAnsi="Times New Roman" w:cs="Times New Roman"/>
        <w:noProof/>
        <w:sz w:val="32"/>
        <w:szCs w:val="32"/>
        <w:lang w:eastAsia="lv-LV"/>
      </w:rPr>
      <w:drawing>
        <wp:anchor distT="0" distB="0" distL="114300" distR="114300" simplePos="0" relativeHeight="251659264" behindDoc="1" locked="0" layoutInCell="1" allowOverlap="1" wp14:anchorId="6F5F342C" wp14:editId="3261669C">
          <wp:simplePos x="0" y="0"/>
          <wp:positionH relativeFrom="column">
            <wp:posOffset>66675</wp:posOffset>
          </wp:positionH>
          <wp:positionV relativeFrom="paragraph">
            <wp:posOffset>17145</wp:posOffset>
          </wp:positionV>
          <wp:extent cx="769620" cy="914400"/>
          <wp:effectExtent l="0" t="0" r="0" b="0"/>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9620" cy="914400"/>
                  </a:xfrm>
                  <a:prstGeom prst="rect">
                    <a:avLst/>
                  </a:prstGeom>
                  <a:noFill/>
                  <a:ln>
                    <a:noFill/>
                  </a:ln>
                </pic:spPr>
              </pic:pic>
            </a:graphicData>
          </a:graphic>
        </wp:anchor>
      </w:drawing>
    </w:r>
    <w:r>
      <w:rPr>
        <w:rFonts w:ascii="Times New Roman" w:hAnsi="Times New Roman" w:cs="Times New Roman"/>
        <w:b/>
        <w:sz w:val="32"/>
        <w:szCs w:val="32"/>
      </w:rPr>
      <w:t>ĶEKAVAS NOVADA DOME</w:t>
    </w:r>
  </w:p>
  <w:p w14:paraId="0437B4BB" w14:textId="77777777" w:rsidR="00E05160" w:rsidRDefault="00E05160">
    <w:pPr>
      <w:spacing w:after="0" w:line="240" w:lineRule="auto"/>
      <w:ind w:left="680"/>
      <w:jc w:val="center"/>
      <w:rPr>
        <w:rFonts w:ascii="Times New Roman" w:hAnsi="Times New Roman" w:cs="Times New Roman"/>
        <w:sz w:val="16"/>
        <w:szCs w:val="16"/>
      </w:rPr>
    </w:pPr>
  </w:p>
  <w:p w14:paraId="681D1F35" w14:textId="77777777" w:rsidR="00E05160" w:rsidRDefault="00D66BE7">
    <w:pPr>
      <w:spacing w:after="0" w:line="240" w:lineRule="auto"/>
      <w:ind w:left="680"/>
      <w:jc w:val="center"/>
      <w:rPr>
        <w:rFonts w:ascii="Times New Roman" w:hAnsi="Times New Roman" w:cs="Times New Roman"/>
        <w:sz w:val="20"/>
      </w:rPr>
    </w:pPr>
    <w:r>
      <w:rPr>
        <w:rFonts w:ascii="Times New Roman" w:hAnsi="Times New Roman" w:cs="Times New Roman"/>
        <w:sz w:val="20"/>
      </w:rPr>
      <w:t>Gaismas iela 19 k-9 -1, Ķekava, Ķekavas novads, LV-2123,</w:t>
    </w:r>
  </w:p>
  <w:p w14:paraId="404313B6" w14:textId="77777777" w:rsidR="00E05160" w:rsidRDefault="00D66BE7">
    <w:pPr>
      <w:spacing w:after="0" w:line="240" w:lineRule="auto"/>
      <w:ind w:left="680"/>
      <w:jc w:val="center"/>
      <w:rPr>
        <w:rFonts w:ascii="Times New Roman" w:hAnsi="Times New Roman" w:cs="Times New Roman"/>
        <w:sz w:val="20"/>
      </w:rPr>
    </w:pPr>
    <w:r>
      <w:rPr>
        <w:rFonts w:ascii="Times New Roman" w:hAnsi="Times New Roman" w:cs="Times New Roman"/>
        <w:sz w:val="20"/>
      </w:rPr>
      <w:t xml:space="preserve">tālrunis 67935803, e-pasts: </w:t>
    </w:r>
    <w:hyperlink r:id="rId2" w:history="1">
      <w:r>
        <w:rPr>
          <w:rStyle w:val="Hyperlink"/>
          <w:sz w:val="20"/>
        </w:rPr>
        <w:t>novads@kekava.lv</w:t>
      </w:r>
    </w:hyperlink>
  </w:p>
  <w:p w14:paraId="685816B0" w14:textId="77777777" w:rsidR="00E05160" w:rsidRDefault="00D66BE7">
    <w:pPr>
      <w:spacing w:line="240" w:lineRule="auto"/>
      <w:ind w:left="1843" w:right="991"/>
      <w:jc w:val="center"/>
      <w:rPr>
        <w:rFonts w:ascii="Times New Roman" w:hAnsi="Times New Roman" w:cs="Times New Roman"/>
        <w:sz w:val="20"/>
      </w:rPr>
    </w:pPr>
    <w:r>
      <w:rPr>
        <w:noProof/>
        <w:lang w:eastAsia="lv-LV"/>
      </w:rPr>
      <mc:AlternateContent>
        <mc:Choice Requires="wps">
          <w:drawing>
            <wp:anchor distT="0" distB="0" distL="114300" distR="114300" simplePos="0" relativeHeight="251660288" behindDoc="0" locked="0" layoutInCell="1" allowOverlap="1" wp14:anchorId="5DAA346E" wp14:editId="65AA3DEB">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ln>
                    </wps:spPr>
                    <wps:bodyPr/>
                  </wps:wsp>
                </a:graphicData>
              </a:graphic>
            </wp:anchor>
          </w:drawing>
        </mc:Choice>
        <mc:Fallback>
          <w:pict>
            <v:line w14:anchorId="0F4CED31" id="Line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19A9"/>
    <w:multiLevelType w:val="multilevel"/>
    <w:tmpl w:val="591E19A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706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C2"/>
    <w:rsid w:val="00005CD6"/>
    <w:rsid w:val="00007A38"/>
    <w:rsid w:val="00012CEF"/>
    <w:rsid w:val="00021526"/>
    <w:rsid w:val="00021585"/>
    <w:rsid w:val="00036EE2"/>
    <w:rsid w:val="00044ED2"/>
    <w:rsid w:val="00062E6B"/>
    <w:rsid w:val="00093315"/>
    <w:rsid w:val="000B6B01"/>
    <w:rsid w:val="000C1159"/>
    <w:rsid w:val="000C39C2"/>
    <w:rsid w:val="000D703D"/>
    <w:rsid w:val="000D778B"/>
    <w:rsid w:val="000E07A3"/>
    <w:rsid w:val="000F7554"/>
    <w:rsid w:val="00105419"/>
    <w:rsid w:val="00114EF9"/>
    <w:rsid w:val="00126D0E"/>
    <w:rsid w:val="00147F9F"/>
    <w:rsid w:val="001D492F"/>
    <w:rsid w:val="001E0373"/>
    <w:rsid w:val="001F05AB"/>
    <w:rsid w:val="0021673D"/>
    <w:rsid w:val="0029364F"/>
    <w:rsid w:val="00296427"/>
    <w:rsid w:val="002E0906"/>
    <w:rsid w:val="002E20E8"/>
    <w:rsid w:val="002F1851"/>
    <w:rsid w:val="00302245"/>
    <w:rsid w:val="00307836"/>
    <w:rsid w:val="00310DD1"/>
    <w:rsid w:val="003409C1"/>
    <w:rsid w:val="00353951"/>
    <w:rsid w:val="003957A9"/>
    <w:rsid w:val="003E1E3E"/>
    <w:rsid w:val="003F6894"/>
    <w:rsid w:val="0044441B"/>
    <w:rsid w:val="00444CBE"/>
    <w:rsid w:val="0045388C"/>
    <w:rsid w:val="0046187F"/>
    <w:rsid w:val="0047320F"/>
    <w:rsid w:val="004756C3"/>
    <w:rsid w:val="004B35B7"/>
    <w:rsid w:val="004C62DB"/>
    <w:rsid w:val="005149A6"/>
    <w:rsid w:val="005207B5"/>
    <w:rsid w:val="00533786"/>
    <w:rsid w:val="005901C2"/>
    <w:rsid w:val="00592410"/>
    <w:rsid w:val="005A468A"/>
    <w:rsid w:val="005A65B4"/>
    <w:rsid w:val="005B0461"/>
    <w:rsid w:val="005B20FB"/>
    <w:rsid w:val="005B57AB"/>
    <w:rsid w:val="005C073C"/>
    <w:rsid w:val="005F079F"/>
    <w:rsid w:val="005F3D92"/>
    <w:rsid w:val="00607D9B"/>
    <w:rsid w:val="00633A97"/>
    <w:rsid w:val="00696BB3"/>
    <w:rsid w:val="006B27AB"/>
    <w:rsid w:val="006B737C"/>
    <w:rsid w:val="006C3163"/>
    <w:rsid w:val="00711448"/>
    <w:rsid w:val="00717DEC"/>
    <w:rsid w:val="00735AD4"/>
    <w:rsid w:val="00745C01"/>
    <w:rsid w:val="007805ED"/>
    <w:rsid w:val="007A0F62"/>
    <w:rsid w:val="007A3F3C"/>
    <w:rsid w:val="007A6FCF"/>
    <w:rsid w:val="007B49D0"/>
    <w:rsid w:val="007D1DFA"/>
    <w:rsid w:val="00802AD0"/>
    <w:rsid w:val="008058D0"/>
    <w:rsid w:val="00820CF0"/>
    <w:rsid w:val="00835286"/>
    <w:rsid w:val="008B2A93"/>
    <w:rsid w:val="008E1C27"/>
    <w:rsid w:val="00916629"/>
    <w:rsid w:val="009422D9"/>
    <w:rsid w:val="00964CDA"/>
    <w:rsid w:val="00965BA5"/>
    <w:rsid w:val="009712FC"/>
    <w:rsid w:val="0098760E"/>
    <w:rsid w:val="009A2F9F"/>
    <w:rsid w:val="009B0C19"/>
    <w:rsid w:val="009D3877"/>
    <w:rsid w:val="00A033D3"/>
    <w:rsid w:val="00A04F95"/>
    <w:rsid w:val="00A17D8F"/>
    <w:rsid w:val="00A27434"/>
    <w:rsid w:val="00A535D5"/>
    <w:rsid w:val="00A62713"/>
    <w:rsid w:val="00A755B9"/>
    <w:rsid w:val="00A8082B"/>
    <w:rsid w:val="00A81B82"/>
    <w:rsid w:val="00AB12CB"/>
    <w:rsid w:val="00AB772D"/>
    <w:rsid w:val="00AC1355"/>
    <w:rsid w:val="00B03A27"/>
    <w:rsid w:val="00B248E3"/>
    <w:rsid w:val="00B41A9D"/>
    <w:rsid w:val="00B57BDA"/>
    <w:rsid w:val="00B64BE4"/>
    <w:rsid w:val="00B95B1D"/>
    <w:rsid w:val="00BA25FC"/>
    <w:rsid w:val="00BC7EC0"/>
    <w:rsid w:val="00BD76AE"/>
    <w:rsid w:val="00BE3884"/>
    <w:rsid w:val="00BF6602"/>
    <w:rsid w:val="00C04640"/>
    <w:rsid w:val="00C16814"/>
    <w:rsid w:val="00C35887"/>
    <w:rsid w:val="00C50F7C"/>
    <w:rsid w:val="00C60216"/>
    <w:rsid w:val="00C64688"/>
    <w:rsid w:val="00C764AA"/>
    <w:rsid w:val="00C77E0F"/>
    <w:rsid w:val="00C806BD"/>
    <w:rsid w:val="00C944E6"/>
    <w:rsid w:val="00CA38BA"/>
    <w:rsid w:val="00CD3DC1"/>
    <w:rsid w:val="00CF6D9C"/>
    <w:rsid w:val="00D53AD8"/>
    <w:rsid w:val="00D66BE7"/>
    <w:rsid w:val="00D709F5"/>
    <w:rsid w:val="00D90648"/>
    <w:rsid w:val="00DA05F5"/>
    <w:rsid w:val="00DA2342"/>
    <w:rsid w:val="00DB5979"/>
    <w:rsid w:val="00DC3CA5"/>
    <w:rsid w:val="00DE1309"/>
    <w:rsid w:val="00DF484C"/>
    <w:rsid w:val="00E05160"/>
    <w:rsid w:val="00E1495A"/>
    <w:rsid w:val="00E454FE"/>
    <w:rsid w:val="00E51681"/>
    <w:rsid w:val="00E54B5C"/>
    <w:rsid w:val="00E77173"/>
    <w:rsid w:val="00E95840"/>
    <w:rsid w:val="00EB6041"/>
    <w:rsid w:val="00EF2BFD"/>
    <w:rsid w:val="00F03816"/>
    <w:rsid w:val="00F25234"/>
    <w:rsid w:val="00F3702B"/>
    <w:rsid w:val="00F40B30"/>
    <w:rsid w:val="00F43F05"/>
    <w:rsid w:val="00F94563"/>
    <w:rsid w:val="00FD0141"/>
    <w:rsid w:val="00FD01F0"/>
    <w:rsid w:val="00FE2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C835"/>
  <w15:chartTrackingRefBased/>
  <w15:docId w15:val="{89491638-7DE9-4E96-9837-C508C19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39C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C39C2"/>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0C39C2"/>
    <w:pPr>
      <w:tabs>
        <w:tab w:val="center" w:pos="4153"/>
        <w:tab w:val="right" w:pos="830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0C39C2"/>
    <w:rPr>
      <w:rFonts w:ascii="Times New Roman" w:eastAsia="Calibri" w:hAnsi="Times New Roman" w:cs="Times New Roman"/>
      <w:kern w:val="0"/>
      <w:sz w:val="24"/>
      <w14:ligatures w14:val="none"/>
    </w:rPr>
  </w:style>
  <w:style w:type="character" w:styleId="Hyperlink">
    <w:name w:val="Hyperlink"/>
    <w:rsid w:val="000C39C2"/>
    <w:rPr>
      <w:color w:val="0000FF"/>
      <w:u w:val="single"/>
    </w:rPr>
  </w:style>
  <w:style w:type="character" w:styleId="PageNumber">
    <w:name w:val="page number"/>
    <w:basedOn w:val="DefaultParagraphFont"/>
    <w:rsid w:val="000C39C2"/>
  </w:style>
  <w:style w:type="paragraph" w:styleId="ListParagraph">
    <w:name w:val="List Paragraph"/>
    <w:basedOn w:val="Normal"/>
    <w:link w:val="ListParagraphChar"/>
    <w:qFormat/>
    <w:rsid w:val="000C39C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qFormat/>
    <w:locked/>
    <w:rsid w:val="000C39C2"/>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unhideWhenUsed/>
    <w:rsid w:val="000C39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0F7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554"/>
    <w:rPr>
      <w:kern w:val="0"/>
      <w:sz w:val="20"/>
      <w:szCs w:val="20"/>
      <w14:ligatures w14:val="none"/>
    </w:rPr>
  </w:style>
  <w:style w:type="character" w:styleId="FootnoteReference">
    <w:name w:val="footnote reference"/>
    <w:basedOn w:val="DefaultParagraphFont"/>
    <w:uiPriority w:val="99"/>
    <w:semiHidden/>
    <w:unhideWhenUsed/>
    <w:rsid w:val="000F7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2341">
      <w:bodyDiv w:val="1"/>
      <w:marLeft w:val="0"/>
      <w:marRight w:val="0"/>
      <w:marTop w:val="0"/>
      <w:marBottom w:val="0"/>
      <w:divBdr>
        <w:top w:val="none" w:sz="0" w:space="0" w:color="auto"/>
        <w:left w:val="none" w:sz="0" w:space="0" w:color="auto"/>
        <w:bottom w:val="none" w:sz="0" w:space="0" w:color="auto"/>
        <w:right w:val="none" w:sz="0" w:space="0" w:color="auto"/>
      </w:divBdr>
    </w:div>
    <w:div w:id="26222296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718437471">
      <w:bodyDiv w:val="1"/>
      <w:marLeft w:val="0"/>
      <w:marRight w:val="0"/>
      <w:marTop w:val="0"/>
      <w:marBottom w:val="0"/>
      <w:divBdr>
        <w:top w:val="none" w:sz="0" w:space="0" w:color="auto"/>
        <w:left w:val="none" w:sz="0" w:space="0" w:color="auto"/>
        <w:bottom w:val="none" w:sz="0" w:space="0" w:color="auto"/>
        <w:right w:val="none" w:sz="0" w:space="0" w:color="auto"/>
      </w:divBdr>
    </w:div>
    <w:div w:id="759369607">
      <w:bodyDiv w:val="1"/>
      <w:marLeft w:val="0"/>
      <w:marRight w:val="0"/>
      <w:marTop w:val="0"/>
      <w:marBottom w:val="0"/>
      <w:divBdr>
        <w:top w:val="none" w:sz="0" w:space="0" w:color="auto"/>
        <w:left w:val="none" w:sz="0" w:space="0" w:color="auto"/>
        <w:bottom w:val="none" w:sz="0" w:space="0" w:color="auto"/>
        <w:right w:val="none" w:sz="0" w:space="0" w:color="auto"/>
      </w:divBdr>
    </w:div>
    <w:div w:id="912592687">
      <w:bodyDiv w:val="1"/>
      <w:marLeft w:val="0"/>
      <w:marRight w:val="0"/>
      <w:marTop w:val="0"/>
      <w:marBottom w:val="0"/>
      <w:divBdr>
        <w:top w:val="none" w:sz="0" w:space="0" w:color="auto"/>
        <w:left w:val="none" w:sz="0" w:space="0" w:color="auto"/>
        <w:bottom w:val="none" w:sz="0" w:space="0" w:color="auto"/>
        <w:right w:val="none" w:sz="0" w:space="0" w:color="auto"/>
      </w:divBdr>
    </w:div>
    <w:div w:id="1038314985">
      <w:bodyDiv w:val="1"/>
      <w:marLeft w:val="0"/>
      <w:marRight w:val="0"/>
      <w:marTop w:val="0"/>
      <w:marBottom w:val="0"/>
      <w:divBdr>
        <w:top w:val="none" w:sz="0" w:space="0" w:color="auto"/>
        <w:left w:val="none" w:sz="0" w:space="0" w:color="auto"/>
        <w:bottom w:val="none" w:sz="0" w:space="0" w:color="auto"/>
        <w:right w:val="none" w:sz="0" w:space="0" w:color="auto"/>
      </w:divBdr>
    </w:div>
    <w:div w:id="1585996597">
      <w:bodyDiv w:val="1"/>
      <w:marLeft w:val="0"/>
      <w:marRight w:val="0"/>
      <w:marTop w:val="0"/>
      <w:marBottom w:val="0"/>
      <w:divBdr>
        <w:top w:val="none" w:sz="0" w:space="0" w:color="auto"/>
        <w:left w:val="none" w:sz="0" w:space="0" w:color="auto"/>
        <w:bottom w:val="none" w:sz="0" w:space="0" w:color="auto"/>
        <w:right w:val="none" w:sz="0" w:space="0" w:color="auto"/>
      </w:divBdr>
    </w:div>
    <w:div w:id="1621495822">
      <w:bodyDiv w:val="1"/>
      <w:marLeft w:val="0"/>
      <w:marRight w:val="0"/>
      <w:marTop w:val="0"/>
      <w:marBottom w:val="0"/>
      <w:divBdr>
        <w:top w:val="none" w:sz="0" w:space="0" w:color="auto"/>
        <w:left w:val="none" w:sz="0" w:space="0" w:color="auto"/>
        <w:bottom w:val="none" w:sz="0" w:space="0" w:color="auto"/>
        <w:right w:val="none" w:sz="0" w:space="0" w:color="auto"/>
      </w:divBdr>
    </w:div>
    <w:div w:id="17239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5920-jaunatnes-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175920-jaunatne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1EC7-0491-4C72-9D42-C5938A0B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13615</Characters>
  <Application>Microsoft Office Word</Application>
  <DocSecurity>0</DocSecurity>
  <Lines>113</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Ķekavas novada pašvaldība</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Birzule</dc:creator>
  <cp:keywords/>
  <dc:description/>
  <cp:lastModifiedBy>Jānis Zvaigzne</cp:lastModifiedBy>
  <cp:revision>2</cp:revision>
  <cp:lastPrinted>2024-01-11T08:03:00Z</cp:lastPrinted>
  <dcterms:created xsi:type="dcterms:W3CDTF">2024-03-26T10:41:00Z</dcterms:created>
  <dcterms:modified xsi:type="dcterms:W3CDTF">2024-03-26T10:41:00Z</dcterms:modified>
</cp:coreProperties>
</file>