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1B5FE0D" w14:textId="77777777" w:rsidR="003412A4" w:rsidRPr="0020384A" w:rsidRDefault="003412A4" w:rsidP="003412A4">
      <w:pPr>
        <w:jc w:val="center"/>
        <w:rPr>
          <w:b/>
        </w:rPr>
      </w:pPr>
      <w:r w:rsidRPr="0020384A">
        <w:rPr>
          <w:b/>
        </w:rPr>
        <w:t xml:space="preserve">Ķekavas novada pašvaldības saistošo noteikumu </w:t>
      </w:r>
      <w:r w:rsidRPr="00790D73">
        <w:rPr>
          <w:b/>
        </w:rPr>
        <w:t>Nr.</w:t>
      </w:r>
      <w:r>
        <w:rPr>
          <w:b/>
        </w:rPr>
        <w:t>26</w:t>
      </w:r>
      <w:r w:rsidRPr="00790D73">
        <w:rPr>
          <w:b/>
        </w:rPr>
        <w:t>/2023</w:t>
      </w:r>
      <w:r w:rsidRPr="0020384A">
        <w:rPr>
          <w:b/>
        </w:rPr>
        <w:t xml:space="preserve"> </w:t>
      </w:r>
    </w:p>
    <w:p w14:paraId="5DE00E37" w14:textId="77777777" w:rsidR="003412A4" w:rsidRPr="00B1643F" w:rsidRDefault="003412A4" w:rsidP="003412A4">
      <w:pPr>
        <w:jc w:val="center"/>
        <w:rPr>
          <w:b/>
          <w:sz w:val="28"/>
          <w:szCs w:val="28"/>
        </w:rPr>
      </w:pPr>
      <w:r w:rsidRPr="0020384A">
        <w:rPr>
          <w:b/>
        </w:rPr>
        <w:t>“</w:t>
      </w:r>
      <w:r>
        <w:rPr>
          <w:b/>
        </w:rPr>
        <w:t>G</w:t>
      </w:r>
      <w:r w:rsidRPr="0020384A">
        <w:rPr>
          <w:b/>
        </w:rPr>
        <w:t>rozījumi</w:t>
      </w:r>
      <w:r>
        <w:rPr>
          <w:b/>
        </w:rPr>
        <w:t xml:space="preserve"> Ķekavas novada pašvaldības </w:t>
      </w:r>
      <w:r w:rsidRPr="00F70EB2">
        <w:rPr>
          <w:b/>
        </w:rPr>
        <w:t>20</w:t>
      </w:r>
      <w:r>
        <w:rPr>
          <w:b/>
        </w:rPr>
        <w:t>23</w:t>
      </w:r>
      <w:r w:rsidRPr="00F70EB2">
        <w:rPr>
          <w:b/>
        </w:rPr>
        <w:t xml:space="preserve">.gada </w:t>
      </w:r>
      <w:r>
        <w:rPr>
          <w:b/>
        </w:rPr>
        <w:t>8</w:t>
      </w:r>
      <w:r w:rsidRPr="00F70EB2">
        <w:rPr>
          <w:b/>
        </w:rPr>
        <w:t>.</w:t>
      </w:r>
      <w:r>
        <w:rPr>
          <w:b/>
        </w:rPr>
        <w:t>februāra</w:t>
      </w:r>
      <w:r w:rsidRPr="00F70EB2">
        <w:rPr>
          <w:b/>
        </w:rPr>
        <w:t xml:space="preserve"> </w:t>
      </w:r>
      <w:r w:rsidRPr="0020384A">
        <w:rPr>
          <w:b/>
        </w:rPr>
        <w:t>saistošajos noteikumos Nr.</w:t>
      </w:r>
      <w:r>
        <w:rPr>
          <w:b/>
        </w:rPr>
        <w:t>1</w:t>
      </w:r>
      <w:r w:rsidRPr="0020384A">
        <w:rPr>
          <w:b/>
        </w:rPr>
        <w:t>/20</w:t>
      </w:r>
      <w:r>
        <w:rPr>
          <w:b/>
        </w:rPr>
        <w:t>23</w:t>
      </w:r>
      <w:r w:rsidRPr="0020384A">
        <w:rPr>
          <w:b/>
        </w:rPr>
        <w:t xml:space="preserve"> </w:t>
      </w:r>
      <w:r>
        <w:rPr>
          <w:b/>
        </w:rPr>
        <w:t>“</w:t>
      </w:r>
      <w:r w:rsidRPr="0020384A">
        <w:rPr>
          <w:b/>
        </w:rPr>
        <w:t>Par Ķekavas novada pašvaldības 20</w:t>
      </w:r>
      <w:r>
        <w:rPr>
          <w:b/>
        </w:rPr>
        <w:t>23</w:t>
      </w:r>
      <w:r w:rsidRPr="0020384A">
        <w:rPr>
          <w:b/>
        </w:rPr>
        <w:t>. gada</w:t>
      </w:r>
      <w:r>
        <w:rPr>
          <w:b/>
        </w:rPr>
        <w:t xml:space="preserve"> budžetu””</w:t>
      </w:r>
    </w:p>
    <w:p w14:paraId="778E377B" w14:textId="77777777" w:rsidR="003412A4" w:rsidRDefault="003412A4" w:rsidP="003412A4">
      <w:pPr>
        <w:jc w:val="center"/>
        <w:rPr>
          <w:b/>
          <w:color w:val="92D050"/>
        </w:rPr>
      </w:pPr>
    </w:p>
    <w:p w14:paraId="25F37248" w14:textId="77777777" w:rsidR="003412A4" w:rsidRDefault="003412A4" w:rsidP="003412A4">
      <w:pPr>
        <w:jc w:val="center"/>
        <w:rPr>
          <w:b/>
          <w:sz w:val="28"/>
          <w:szCs w:val="28"/>
        </w:rPr>
      </w:pPr>
      <w:r w:rsidRPr="006A529E">
        <w:rPr>
          <w:b/>
          <w:sz w:val="28"/>
          <w:szCs w:val="28"/>
        </w:rPr>
        <w:t>PASKAIDROJUMA RAKSTS</w:t>
      </w:r>
    </w:p>
    <w:p w14:paraId="0773ECBB" w14:textId="77777777" w:rsidR="003412A4" w:rsidRDefault="003412A4" w:rsidP="003412A4">
      <w:pPr>
        <w:rPr>
          <w:b/>
        </w:rPr>
      </w:pPr>
    </w:p>
    <w:p w14:paraId="054D7ABC" w14:textId="77777777" w:rsidR="003412A4" w:rsidRDefault="003412A4" w:rsidP="003412A4">
      <w:pPr>
        <w:jc w:val="both"/>
      </w:pPr>
    </w:p>
    <w:p w14:paraId="086A25A3" w14:textId="77777777" w:rsidR="003412A4" w:rsidRDefault="003412A4" w:rsidP="003412A4">
      <w:pPr>
        <w:jc w:val="both"/>
      </w:pPr>
    </w:p>
    <w:p w14:paraId="6B329F8D" w14:textId="77777777" w:rsidR="003412A4" w:rsidRDefault="003412A4" w:rsidP="003412A4">
      <w:pPr>
        <w:ind w:firstLine="720"/>
        <w:jc w:val="both"/>
      </w:pPr>
      <w:r>
        <w:t>Pamatojoties uz Ķekavas novada pašvaldības  (turpmāk – Pašvaldība) budžeta ieņēmumu un izdevumu izpildi uz 2023.gada 15.novembri, ir apkopoti 2023.gada budžeta grozījumu pieprasījumi:</w:t>
      </w:r>
    </w:p>
    <w:p w14:paraId="101FCD0D" w14:textId="77777777" w:rsidR="003412A4" w:rsidRDefault="003412A4" w:rsidP="003412A4">
      <w:pPr>
        <w:ind w:left="720"/>
        <w:jc w:val="both"/>
      </w:pPr>
      <w:r>
        <w:t>Ieņēmumiem  precizēti:</w:t>
      </w:r>
    </w:p>
    <w:p w14:paraId="2F0A23B2" w14:textId="77777777" w:rsidR="003412A4" w:rsidRDefault="003412A4" w:rsidP="003412A4">
      <w:pPr>
        <w:numPr>
          <w:ilvl w:val="0"/>
          <w:numId w:val="7"/>
        </w:numPr>
        <w:jc w:val="both"/>
      </w:pPr>
      <w:r>
        <w:t>Nekustamā īpašuma nodoklis;</w:t>
      </w:r>
    </w:p>
    <w:p w14:paraId="33083171" w14:textId="77777777" w:rsidR="003412A4" w:rsidRDefault="003412A4" w:rsidP="003412A4">
      <w:pPr>
        <w:numPr>
          <w:ilvl w:val="0"/>
          <w:numId w:val="7"/>
        </w:numPr>
        <w:jc w:val="both"/>
      </w:pPr>
      <w:r>
        <w:t>Valsts un pašvaldību nodevas;</w:t>
      </w:r>
    </w:p>
    <w:p w14:paraId="5C5D845B" w14:textId="77777777" w:rsidR="003412A4" w:rsidRDefault="003412A4" w:rsidP="003412A4">
      <w:pPr>
        <w:numPr>
          <w:ilvl w:val="0"/>
          <w:numId w:val="7"/>
        </w:numPr>
        <w:jc w:val="both"/>
      </w:pPr>
      <w:r>
        <w:t>Naudas sodi un sankcijas;</w:t>
      </w:r>
    </w:p>
    <w:p w14:paraId="0AAB7BC4" w14:textId="77777777" w:rsidR="003412A4" w:rsidRDefault="003412A4" w:rsidP="003412A4">
      <w:pPr>
        <w:numPr>
          <w:ilvl w:val="0"/>
          <w:numId w:val="7"/>
        </w:numPr>
        <w:jc w:val="both"/>
      </w:pPr>
      <w:r>
        <w:t xml:space="preserve">Pārējie </w:t>
      </w:r>
      <w:proofErr w:type="spellStart"/>
      <w:r>
        <w:t>nenodokļu</w:t>
      </w:r>
      <w:proofErr w:type="spellEnd"/>
      <w:r>
        <w:t xml:space="preserve"> ieņēmumi;</w:t>
      </w:r>
    </w:p>
    <w:p w14:paraId="6FB7C679" w14:textId="77777777" w:rsidR="003412A4" w:rsidRDefault="003412A4" w:rsidP="003412A4">
      <w:pPr>
        <w:numPr>
          <w:ilvl w:val="0"/>
          <w:numId w:val="7"/>
        </w:numPr>
        <w:jc w:val="both"/>
      </w:pPr>
      <w:r>
        <w:t>Ieņēmumi no pašvaldības īpašumu iznomāšanas, pārdošanas;</w:t>
      </w:r>
    </w:p>
    <w:p w14:paraId="7845F99A" w14:textId="77777777" w:rsidR="003412A4" w:rsidRDefault="003412A4" w:rsidP="003412A4">
      <w:pPr>
        <w:numPr>
          <w:ilvl w:val="0"/>
          <w:numId w:val="7"/>
        </w:numPr>
        <w:jc w:val="both"/>
      </w:pPr>
      <w:r>
        <w:t xml:space="preserve">No valsts budžeta daļēji finansētu atvasinātu publisku personu un budžeta nefinansētu iestāžu </w:t>
      </w:r>
      <w:proofErr w:type="spellStart"/>
      <w:r>
        <w:t>transferti</w:t>
      </w:r>
      <w:proofErr w:type="spellEnd"/>
      <w:r>
        <w:t>;</w:t>
      </w:r>
    </w:p>
    <w:p w14:paraId="2F858DA5" w14:textId="77777777" w:rsidR="003412A4" w:rsidRDefault="003412A4" w:rsidP="003412A4">
      <w:pPr>
        <w:numPr>
          <w:ilvl w:val="0"/>
          <w:numId w:val="7"/>
        </w:numPr>
        <w:jc w:val="both"/>
      </w:pPr>
      <w:r>
        <w:t xml:space="preserve">Valsts budžeta </w:t>
      </w:r>
      <w:proofErr w:type="spellStart"/>
      <w:r>
        <w:t>transferti</w:t>
      </w:r>
      <w:proofErr w:type="spellEnd"/>
      <w:r>
        <w:t>;</w:t>
      </w:r>
    </w:p>
    <w:p w14:paraId="3197C0CB" w14:textId="77777777" w:rsidR="003412A4" w:rsidRDefault="003412A4" w:rsidP="003412A4">
      <w:pPr>
        <w:numPr>
          <w:ilvl w:val="0"/>
          <w:numId w:val="7"/>
        </w:numPr>
        <w:jc w:val="both"/>
      </w:pPr>
      <w:r>
        <w:t xml:space="preserve">Eiropas savienības budžeta </w:t>
      </w:r>
      <w:proofErr w:type="spellStart"/>
      <w:r>
        <w:t>transferti</w:t>
      </w:r>
      <w:proofErr w:type="spellEnd"/>
      <w:r>
        <w:t>;</w:t>
      </w:r>
    </w:p>
    <w:p w14:paraId="25CBFB06" w14:textId="77777777" w:rsidR="003412A4" w:rsidRDefault="003412A4" w:rsidP="003412A4">
      <w:pPr>
        <w:numPr>
          <w:ilvl w:val="0"/>
          <w:numId w:val="7"/>
        </w:numPr>
        <w:jc w:val="both"/>
      </w:pPr>
      <w:r>
        <w:t>Iestādes pašu ieņēmumi.</w:t>
      </w:r>
    </w:p>
    <w:p w14:paraId="1D69CF67" w14:textId="77777777" w:rsidR="003412A4" w:rsidRDefault="003412A4" w:rsidP="003412A4">
      <w:pPr>
        <w:ind w:left="720"/>
        <w:jc w:val="both"/>
      </w:pPr>
      <w:r>
        <w:t>Izdevumiem precizēti:</w:t>
      </w:r>
    </w:p>
    <w:p w14:paraId="7F465B0F" w14:textId="77777777" w:rsidR="003412A4" w:rsidRDefault="003412A4" w:rsidP="003412A4">
      <w:pPr>
        <w:numPr>
          <w:ilvl w:val="0"/>
          <w:numId w:val="8"/>
        </w:numPr>
        <w:jc w:val="both"/>
      </w:pPr>
      <w:r>
        <w:t>izdevumi pamatbudžetā pa vadības funkcionālajām kategorijām un ekonomiskās klasifikācijas kodiem, finansēšanas daļa.</w:t>
      </w:r>
    </w:p>
    <w:p w14:paraId="49205AF1" w14:textId="77777777" w:rsidR="003412A4" w:rsidRDefault="003412A4" w:rsidP="003412A4">
      <w:pPr>
        <w:jc w:val="both"/>
      </w:pPr>
    </w:p>
    <w:p w14:paraId="794D9934" w14:textId="77777777" w:rsidR="003412A4" w:rsidRDefault="003412A4" w:rsidP="003412A4">
      <w:pPr>
        <w:jc w:val="center"/>
        <w:rPr>
          <w:b/>
          <w:bCs/>
        </w:rPr>
      </w:pPr>
    </w:p>
    <w:p w14:paraId="30FB4EF0" w14:textId="77777777" w:rsidR="003412A4" w:rsidRPr="00EB0459" w:rsidRDefault="003412A4" w:rsidP="003412A4">
      <w:pPr>
        <w:jc w:val="center"/>
        <w:rPr>
          <w:b/>
          <w:bCs/>
        </w:rPr>
      </w:pPr>
      <w:r w:rsidRPr="00EB0459">
        <w:rPr>
          <w:b/>
          <w:bCs/>
        </w:rPr>
        <w:t>IEŅĒMUMI</w:t>
      </w:r>
    </w:p>
    <w:p w14:paraId="34100828" w14:textId="77777777" w:rsidR="003412A4" w:rsidRPr="00E348A3" w:rsidRDefault="003412A4" w:rsidP="003412A4">
      <w:pPr>
        <w:ind w:firstLine="720"/>
        <w:jc w:val="center"/>
        <w:rPr>
          <w:b/>
          <w:bCs/>
        </w:rPr>
      </w:pPr>
    </w:p>
    <w:p w14:paraId="6615BE7F" w14:textId="77777777" w:rsidR="003412A4" w:rsidRDefault="003412A4" w:rsidP="003412A4">
      <w:pPr>
        <w:ind w:firstLine="720"/>
        <w:jc w:val="both"/>
      </w:pPr>
      <w:bookmarkStart w:id="0" w:name="_Hlk94018148"/>
      <w:r>
        <w:t xml:space="preserve">Pašvaldības budžeta ieņēmumu prognoze </w:t>
      </w:r>
      <w:bookmarkEnd w:id="0"/>
      <w:r>
        <w:t xml:space="preserve">kopumā palielināta par 22 736 </w:t>
      </w:r>
      <w:proofErr w:type="spellStart"/>
      <w:r w:rsidRPr="00C153CA">
        <w:rPr>
          <w:i/>
          <w:iCs/>
        </w:rPr>
        <w:t>euro</w:t>
      </w:r>
      <w:proofErr w:type="spellEnd"/>
      <w:r>
        <w:rPr>
          <w:i/>
          <w:iCs/>
        </w:rPr>
        <w:t xml:space="preserve">, </w:t>
      </w:r>
      <w:r>
        <w:t xml:space="preserve">t.sk., palielināts nekustamā īpašuma nodoklis saskaņā ar faktisko izpildi par 130 000 </w:t>
      </w:r>
      <w:proofErr w:type="spellStart"/>
      <w:r w:rsidRPr="003C6DB7">
        <w:rPr>
          <w:i/>
          <w:iCs/>
        </w:rPr>
        <w:t>euro</w:t>
      </w:r>
      <w:proofErr w:type="spellEnd"/>
      <w:r>
        <w:rPr>
          <w:i/>
          <w:iCs/>
        </w:rPr>
        <w:t xml:space="preserve">, </w:t>
      </w:r>
      <w:r>
        <w:t xml:space="preserve">palielinātas pašvaldību nodevas par 2 800 </w:t>
      </w:r>
      <w:proofErr w:type="spellStart"/>
      <w:r w:rsidRPr="004B0C41">
        <w:rPr>
          <w:i/>
          <w:iCs/>
        </w:rPr>
        <w:t>euro</w:t>
      </w:r>
      <w:proofErr w:type="spellEnd"/>
      <w:r>
        <w:rPr>
          <w:i/>
          <w:iCs/>
        </w:rPr>
        <w:t>,</w:t>
      </w:r>
      <w:r>
        <w:t xml:space="preserve"> palielināti</w:t>
      </w:r>
      <w:r>
        <w:rPr>
          <w:i/>
          <w:iCs/>
        </w:rPr>
        <w:t xml:space="preserve"> </w:t>
      </w:r>
      <w:r>
        <w:t xml:space="preserve">pārējie </w:t>
      </w:r>
      <w:proofErr w:type="spellStart"/>
      <w:r>
        <w:t>nenodokļu</w:t>
      </w:r>
      <w:proofErr w:type="spellEnd"/>
      <w:r>
        <w:t xml:space="preserve"> ieņēmumi par 275 </w:t>
      </w:r>
      <w:proofErr w:type="spellStart"/>
      <w:r w:rsidRPr="00CB1FDD">
        <w:rPr>
          <w:i/>
          <w:iCs/>
        </w:rPr>
        <w:t>euro</w:t>
      </w:r>
      <w:proofErr w:type="spellEnd"/>
      <w:r>
        <w:t xml:space="preserve">, </w:t>
      </w:r>
      <w:r w:rsidRPr="000420B2">
        <w:t>samazināti</w:t>
      </w:r>
      <w:r>
        <w:rPr>
          <w:i/>
          <w:iCs/>
        </w:rPr>
        <w:t xml:space="preserve"> </w:t>
      </w:r>
      <w:r>
        <w:t xml:space="preserve">ieņēmumi no pašvaldības īpašumu iznomāšanas, pārdošanas par -94 995 </w:t>
      </w:r>
      <w:proofErr w:type="spellStart"/>
      <w:r w:rsidRPr="000420B2">
        <w:rPr>
          <w:i/>
          <w:iCs/>
        </w:rPr>
        <w:t>euro</w:t>
      </w:r>
      <w:proofErr w:type="spellEnd"/>
      <w:r>
        <w:rPr>
          <w:i/>
          <w:iCs/>
        </w:rPr>
        <w:t>,</w:t>
      </w:r>
      <w:r>
        <w:t xml:space="preserve"> palielināti no valsts budžeta daļēji finansētu atvasinātu publisku personu un budžeta nefinansētu iestāžu </w:t>
      </w:r>
      <w:proofErr w:type="spellStart"/>
      <w:r>
        <w:t>transferti</w:t>
      </w:r>
      <w:proofErr w:type="spellEnd"/>
      <w:r>
        <w:t xml:space="preserve"> </w:t>
      </w:r>
      <w:proofErr w:type="spellStart"/>
      <w:r>
        <w:t>deinstitucionalizācijas</w:t>
      </w:r>
      <w:proofErr w:type="spellEnd"/>
      <w:r>
        <w:t xml:space="preserve"> projektam par 30 000 </w:t>
      </w:r>
      <w:proofErr w:type="spellStart"/>
      <w:r w:rsidRPr="004B0C41">
        <w:rPr>
          <w:i/>
          <w:iCs/>
        </w:rPr>
        <w:t>euro</w:t>
      </w:r>
      <w:proofErr w:type="spellEnd"/>
      <w:r>
        <w:rPr>
          <w:i/>
          <w:iCs/>
        </w:rPr>
        <w:t>,</w:t>
      </w:r>
      <w:r>
        <w:t xml:space="preserve"> samazināti valsts budžeta </w:t>
      </w:r>
      <w:proofErr w:type="spellStart"/>
      <w:r>
        <w:t>transferti</w:t>
      </w:r>
      <w:proofErr w:type="spellEnd"/>
      <w:r>
        <w:t xml:space="preserve"> par -12 245 </w:t>
      </w:r>
      <w:proofErr w:type="spellStart"/>
      <w:r w:rsidRPr="00CB1FDD">
        <w:rPr>
          <w:i/>
          <w:iCs/>
        </w:rPr>
        <w:t>euro</w:t>
      </w:r>
      <w:proofErr w:type="spellEnd"/>
      <w:r>
        <w:t xml:space="preserve">, Eiropas savienības finansējums līdzfinansētiem projektiem par -153 964 </w:t>
      </w:r>
      <w:proofErr w:type="spellStart"/>
      <w:r w:rsidRPr="00CB1FDD">
        <w:rPr>
          <w:i/>
          <w:iCs/>
        </w:rPr>
        <w:t>euro</w:t>
      </w:r>
      <w:proofErr w:type="spellEnd"/>
      <w:r>
        <w:rPr>
          <w:i/>
          <w:iCs/>
        </w:rPr>
        <w:t>,</w:t>
      </w:r>
      <w:r>
        <w:t xml:space="preserve"> palielināti pašu ieņēmumi par  66 865 </w:t>
      </w:r>
      <w:proofErr w:type="spellStart"/>
      <w:r w:rsidRPr="000600DE">
        <w:rPr>
          <w:i/>
          <w:iCs/>
        </w:rPr>
        <w:t>euro</w:t>
      </w:r>
      <w:proofErr w:type="spellEnd"/>
      <w:r>
        <w:rPr>
          <w:i/>
          <w:iCs/>
        </w:rPr>
        <w:t>.</w:t>
      </w:r>
      <w:r>
        <w:t xml:space="preserve"> </w:t>
      </w:r>
    </w:p>
    <w:p w14:paraId="6B39F16A" w14:textId="77777777" w:rsidR="003412A4" w:rsidRDefault="003412A4" w:rsidP="003412A4">
      <w:pPr>
        <w:jc w:val="both"/>
      </w:pPr>
    </w:p>
    <w:p w14:paraId="28EF6333" w14:textId="77777777" w:rsidR="003412A4" w:rsidRDefault="003412A4" w:rsidP="003412A4">
      <w:pPr>
        <w:rPr>
          <w:b/>
          <w:bCs/>
        </w:rPr>
      </w:pPr>
    </w:p>
    <w:p w14:paraId="02BD6064" w14:textId="77777777" w:rsidR="003412A4" w:rsidRDefault="003412A4" w:rsidP="003412A4">
      <w:pPr>
        <w:jc w:val="center"/>
        <w:rPr>
          <w:b/>
          <w:bCs/>
        </w:rPr>
      </w:pPr>
      <w:r>
        <w:rPr>
          <w:b/>
          <w:bCs/>
        </w:rPr>
        <w:br w:type="page"/>
      </w:r>
    </w:p>
    <w:p w14:paraId="36278D08" w14:textId="77777777" w:rsidR="003412A4" w:rsidRDefault="003412A4" w:rsidP="003412A4">
      <w:pPr>
        <w:jc w:val="center"/>
        <w:rPr>
          <w:b/>
          <w:bCs/>
        </w:rPr>
      </w:pPr>
    </w:p>
    <w:p w14:paraId="265A484C" w14:textId="77777777" w:rsidR="003412A4" w:rsidRPr="002479F8" w:rsidRDefault="003412A4" w:rsidP="003412A4">
      <w:pPr>
        <w:jc w:val="center"/>
        <w:rPr>
          <w:b/>
          <w:bCs/>
        </w:rPr>
      </w:pPr>
      <w:r w:rsidRPr="005935AE">
        <w:rPr>
          <w:b/>
          <w:bCs/>
        </w:rPr>
        <w:t>IZDEVUMI</w:t>
      </w:r>
    </w:p>
    <w:p w14:paraId="709454A9" w14:textId="77777777" w:rsidR="003412A4" w:rsidRDefault="003412A4" w:rsidP="003412A4">
      <w:pPr>
        <w:jc w:val="both"/>
      </w:pPr>
      <w:r>
        <w:tab/>
      </w:r>
    </w:p>
    <w:p w14:paraId="0580DB6C" w14:textId="77777777" w:rsidR="003412A4" w:rsidRDefault="003412A4" w:rsidP="003412A4">
      <w:pPr>
        <w:ind w:firstLine="720"/>
        <w:jc w:val="both"/>
      </w:pPr>
      <w:r>
        <w:t>Budžeta izdevumu daļa precizēta atbilstoši precizētajiem ieņēmumiem un veiktajiem iekšējiem grozījumiem starp funkcionālajām kategorijām.</w:t>
      </w:r>
    </w:p>
    <w:p w14:paraId="3B6E73CF" w14:textId="77777777" w:rsidR="003412A4" w:rsidRDefault="003412A4" w:rsidP="003412A4">
      <w:pPr>
        <w:jc w:val="both"/>
      </w:pPr>
    </w:p>
    <w:p w14:paraId="175DA12C" w14:textId="77777777" w:rsidR="003412A4" w:rsidRDefault="003412A4" w:rsidP="003412A4">
      <w:pPr>
        <w:ind w:left="810" w:hanging="810"/>
        <w:jc w:val="both"/>
      </w:pPr>
      <w:r>
        <w:rPr>
          <w:b/>
          <w:bCs/>
        </w:rPr>
        <w:t>01.000.</w:t>
      </w:r>
      <w:r w:rsidRPr="00F34DD9">
        <w:rPr>
          <w:b/>
          <w:bCs/>
        </w:rPr>
        <w:t xml:space="preserve">Vispārējie valdības dienesti </w:t>
      </w:r>
      <w:r>
        <w:rPr>
          <w:b/>
          <w:bCs/>
        </w:rPr>
        <w:t>–</w:t>
      </w:r>
      <w:r w:rsidRPr="00F34DD9">
        <w:rPr>
          <w:b/>
          <w:bCs/>
        </w:rPr>
        <w:t xml:space="preserve"> </w:t>
      </w:r>
      <w:r w:rsidRPr="00F34DD9">
        <w:t>izdevum</w:t>
      </w:r>
      <w:r>
        <w:t xml:space="preserve">i tiek samazināti par -159 013 </w:t>
      </w:r>
      <w:proofErr w:type="spellStart"/>
      <w:r w:rsidRPr="00FA3214">
        <w:rPr>
          <w:i/>
          <w:iCs/>
        </w:rPr>
        <w:t>euro</w:t>
      </w:r>
      <w:proofErr w:type="spellEnd"/>
      <w:r>
        <w:t>. Līdzekļi ir sadalīti sekojoši:</w:t>
      </w:r>
    </w:p>
    <w:p w14:paraId="7DFCC7B5" w14:textId="77777777" w:rsidR="003412A4" w:rsidRDefault="003412A4" w:rsidP="003412A4">
      <w:pPr>
        <w:jc w:val="both"/>
      </w:pPr>
    </w:p>
    <w:p w14:paraId="658669D5" w14:textId="77777777" w:rsidR="003412A4" w:rsidRDefault="003412A4" w:rsidP="003412A4">
      <w:pPr>
        <w:numPr>
          <w:ilvl w:val="0"/>
          <w:numId w:val="8"/>
        </w:numPr>
        <w:ind w:left="709" w:hanging="283"/>
        <w:jc w:val="both"/>
      </w:pPr>
      <w:r>
        <w:t xml:space="preserve">paredzēts </w:t>
      </w:r>
      <w:proofErr w:type="spellStart"/>
      <w:r>
        <w:t>priekšfinansējums</w:t>
      </w:r>
      <w:proofErr w:type="spellEnd"/>
      <w:r>
        <w:t xml:space="preserve"> par parakstu vākšanu </w:t>
      </w:r>
      <w:r w:rsidRPr="0098215B">
        <w:t>tautas nobalsošanas ierosināšanai par apturētā likuma “Grozījumi Notariāta likumā” atcelšanu</w:t>
      </w:r>
      <w:r>
        <w:t xml:space="preserve">  15 595 </w:t>
      </w:r>
      <w:proofErr w:type="spellStart"/>
      <w:r w:rsidRPr="009F772E">
        <w:rPr>
          <w:i/>
          <w:iCs/>
        </w:rPr>
        <w:t>euro</w:t>
      </w:r>
      <w:proofErr w:type="spellEnd"/>
      <w:r>
        <w:t>;</w:t>
      </w:r>
    </w:p>
    <w:p w14:paraId="7096EC9D" w14:textId="77777777" w:rsidR="003412A4" w:rsidRDefault="003412A4" w:rsidP="003412A4">
      <w:pPr>
        <w:numPr>
          <w:ilvl w:val="0"/>
          <w:numId w:val="9"/>
        </w:numPr>
        <w:jc w:val="both"/>
      </w:pPr>
      <w:r>
        <w:t xml:space="preserve">iekšējā parāda procentu nomaksai samazināti par  -60 000 </w:t>
      </w:r>
      <w:proofErr w:type="spellStart"/>
      <w:r w:rsidRPr="002C3D80">
        <w:rPr>
          <w:i/>
          <w:iCs/>
        </w:rPr>
        <w:t>euro</w:t>
      </w:r>
      <w:proofErr w:type="spellEnd"/>
      <w:r>
        <w:rPr>
          <w:i/>
          <w:iCs/>
        </w:rPr>
        <w:t xml:space="preserve"> </w:t>
      </w:r>
      <w:r w:rsidRPr="0098215B">
        <w:t>saskaņā ar faktisko izpildi</w:t>
      </w:r>
      <w:r>
        <w:t xml:space="preserve">; </w:t>
      </w:r>
    </w:p>
    <w:p w14:paraId="690033E0" w14:textId="77777777" w:rsidR="003412A4" w:rsidRDefault="003412A4" w:rsidP="003412A4">
      <w:pPr>
        <w:numPr>
          <w:ilvl w:val="0"/>
          <w:numId w:val="9"/>
        </w:numPr>
        <w:jc w:val="both"/>
      </w:pPr>
      <w:r>
        <w:t xml:space="preserve">Līdzekļi neparedzētiem gadījumiem samazināti par -114 608 </w:t>
      </w:r>
      <w:proofErr w:type="spellStart"/>
      <w:r w:rsidRPr="0098215B">
        <w:rPr>
          <w:i/>
          <w:iCs/>
        </w:rPr>
        <w:t>euro</w:t>
      </w:r>
      <w:proofErr w:type="spellEnd"/>
      <w:r w:rsidRPr="0098215B">
        <w:rPr>
          <w:i/>
          <w:iCs/>
        </w:rPr>
        <w:t>;</w:t>
      </w:r>
      <w:r>
        <w:t xml:space="preserve"> </w:t>
      </w:r>
    </w:p>
    <w:p w14:paraId="47D3077E" w14:textId="77777777" w:rsidR="003412A4" w:rsidRDefault="003412A4" w:rsidP="003412A4">
      <w:pPr>
        <w:ind w:left="720"/>
        <w:jc w:val="both"/>
      </w:pPr>
    </w:p>
    <w:p w14:paraId="05D354ED" w14:textId="77777777" w:rsidR="003412A4" w:rsidRPr="00C77D33" w:rsidRDefault="003412A4" w:rsidP="003412A4">
      <w:pPr>
        <w:jc w:val="both"/>
      </w:pPr>
      <w:r w:rsidRPr="00433168">
        <w:rPr>
          <w:b/>
          <w:bCs/>
        </w:rPr>
        <w:t>0</w:t>
      </w:r>
      <w:r>
        <w:rPr>
          <w:b/>
          <w:bCs/>
        </w:rPr>
        <w:t>3</w:t>
      </w:r>
      <w:r w:rsidRPr="00433168">
        <w:rPr>
          <w:b/>
          <w:bCs/>
        </w:rPr>
        <w:t xml:space="preserve">.000 </w:t>
      </w:r>
      <w:r>
        <w:rPr>
          <w:b/>
          <w:bCs/>
        </w:rPr>
        <w:t>Sabiedriskā kārtība un drošība</w:t>
      </w:r>
      <w:r>
        <w:t xml:space="preserve"> – izdevumi samazināti par -11 131 </w:t>
      </w:r>
      <w:proofErr w:type="spellStart"/>
      <w:r w:rsidRPr="00FA3214">
        <w:rPr>
          <w:i/>
          <w:iCs/>
        </w:rPr>
        <w:t>euro</w:t>
      </w:r>
      <w:proofErr w:type="spellEnd"/>
      <w:r>
        <w:rPr>
          <w:i/>
          <w:iCs/>
        </w:rPr>
        <w:t xml:space="preserve">, </w:t>
      </w:r>
      <w:r>
        <w:t>balstoties uz faktisko izpildi un to, ka ar</w:t>
      </w:r>
      <w:r w:rsidRPr="00C77D33">
        <w:t xml:space="preserve"> </w:t>
      </w:r>
      <w:proofErr w:type="spellStart"/>
      <w:r w:rsidRPr="00C77D33">
        <w:t>ātrumkontroles</w:t>
      </w:r>
      <w:proofErr w:type="spellEnd"/>
      <w:r w:rsidRPr="00C77D33">
        <w:t xml:space="preserve"> iekārtu</w:t>
      </w:r>
      <w:r>
        <w:t xml:space="preserve"> tika aprīkota tikai 1 automašīna, ņemot vērā, ka iecere par automatizētas sistēmas ieviešanu ir būtiski dārgāka par sākotnēji plānoto.</w:t>
      </w:r>
    </w:p>
    <w:p w14:paraId="176DCE02" w14:textId="77777777" w:rsidR="003412A4" w:rsidRPr="00C77D33" w:rsidRDefault="003412A4" w:rsidP="003412A4">
      <w:pPr>
        <w:jc w:val="both"/>
      </w:pPr>
    </w:p>
    <w:p w14:paraId="6A84E842" w14:textId="77777777" w:rsidR="003412A4" w:rsidRDefault="003412A4" w:rsidP="003412A4">
      <w:pPr>
        <w:numPr>
          <w:ilvl w:val="0"/>
          <w:numId w:val="14"/>
        </w:numPr>
        <w:jc w:val="both"/>
      </w:pPr>
      <w:r>
        <w:rPr>
          <w:b/>
          <w:bCs/>
        </w:rPr>
        <w:t>Ek</w:t>
      </w:r>
      <w:r w:rsidRPr="00433168">
        <w:rPr>
          <w:b/>
          <w:bCs/>
        </w:rPr>
        <w:t>onomiskā darbība</w:t>
      </w:r>
      <w:r>
        <w:t xml:space="preserve"> – izdevumi samazināti par -76 507 </w:t>
      </w:r>
      <w:proofErr w:type="spellStart"/>
      <w:r w:rsidRPr="00FA3214">
        <w:rPr>
          <w:i/>
          <w:iCs/>
        </w:rPr>
        <w:t>euro</w:t>
      </w:r>
      <w:proofErr w:type="spellEnd"/>
      <w:r>
        <w:t>:</w:t>
      </w:r>
    </w:p>
    <w:p w14:paraId="07CF1B66" w14:textId="77777777" w:rsidR="003412A4" w:rsidRPr="00BB0FEE" w:rsidRDefault="003412A4" w:rsidP="003412A4">
      <w:pPr>
        <w:numPr>
          <w:ilvl w:val="0"/>
          <w:numId w:val="13"/>
        </w:numPr>
        <w:jc w:val="both"/>
      </w:pPr>
      <w:r>
        <w:t xml:space="preserve"> no Attīstības un būvniecības pārvaldes atlīdzības finansējuma pārcelts un precizēts atlīdzības finansējums energoefektivitātes projektiem, kā arī pārcelts ekspertu pakalpojumiem paredzētais </w:t>
      </w:r>
      <w:proofErr w:type="spellStart"/>
      <w:r>
        <w:t>finsējums</w:t>
      </w:r>
      <w:proofErr w:type="spellEnd"/>
      <w:r>
        <w:t xml:space="preserve"> uz Īpašumu pārvaldi konsultācijām par kapitālsabiedrību darbības optimizāciju (uzsākšanai);</w:t>
      </w:r>
    </w:p>
    <w:p w14:paraId="2F5ACF5A" w14:textId="77777777" w:rsidR="003412A4" w:rsidRDefault="003412A4" w:rsidP="003412A4">
      <w:pPr>
        <w:numPr>
          <w:ilvl w:val="0"/>
          <w:numId w:val="13"/>
        </w:numPr>
        <w:jc w:val="both"/>
      </w:pPr>
      <w:r>
        <w:t xml:space="preserve">samazināts finansējums </w:t>
      </w:r>
      <w:r w:rsidRPr="00C77D33">
        <w:t xml:space="preserve">Ceļu ikdienas uzturēšanai par </w:t>
      </w:r>
      <w:r>
        <w:t>-58 000</w:t>
      </w:r>
      <w:r w:rsidRPr="00C77D33">
        <w:t xml:space="preserve"> </w:t>
      </w:r>
      <w:proofErr w:type="spellStart"/>
      <w:r w:rsidRPr="00C77D33">
        <w:rPr>
          <w:i/>
          <w:iCs/>
        </w:rPr>
        <w:t>euro</w:t>
      </w:r>
      <w:proofErr w:type="spellEnd"/>
      <w:r>
        <w:t xml:space="preserve"> un pārcelts uz Teritoriju apsaimniekošanas tāmi nekustamā īpašuma uzturēšanas izdevumiem.</w:t>
      </w:r>
    </w:p>
    <w:p w14:paraId="49D18B7B" w14:textId="77777777" w:rsidR="003412A4" w:rsidRDefault="003412A4" w:rsidP="003412A4">
      <w:pPr>
        <w:ind w:left="787"/>
        <w:jc w:val="both"/>
      </w:pPr>
    </w:p>
    <w:p w14:paraId="06E0DB15" w14:textId="77777777" w:rsidR="003412A4" w:rsidRDefault="003412A4" w:rsidP="003412A4">
      <w:pPr>
        <w:jc w:val="both"/>
      </w:pPr>
      <w:r w:rsidRPr="00F676D2">
        <w:rPr>
          <w:b/>
          <w:bCs/>
        </w:rPr>
        <w:t>06.000 Teritoriju un mājokļu apsaimniekošana</w:t>
      </w:r>
      <w:r>
        <w:t xml:space="preserve"> – izdevumi samazināti par -8 588 </w:t>
      </w:r>
      <w:proofErr w:type="spellStart"/>
      <w:r w:rsidRPr="00FA3214">
        <w:rPr>
          <w:i/>
          <w:iCs/>
        </w:rPr>
        <w:t>euro</w:t>
      </w:r>
      <w:proofErr w:type="spellEnd"/>
      <w:r>
        <w:t>. Līdzekļi sadalās sekojoši:</w:t>
      </w:r>
    </w:p>
    <w:p w14:paraId="7B416F98" w14:textId="77777777" w:rsidR="003412A4" w:rsidRDefault="003412A4" w:rsidP="003412A4">
      <w:pPr>
        <w:numPr>
          <w:ilvl w:val="0"/>
          <w:numId w:val="10"/>
        </w:numPr>
        <w:jc w:val="both"/>
      </w:pPr>
      <w:r>
        <w:t xml:space="preserve">palielināti izdevumi pašvaldības teritoriju apsaimniekošanai par 159 900 </w:t>
      </w:r>
      <w:proofErr w:type="spellStart"/>
      <w:r w:rsidRPr="00041ED4">
        <w:rPr>
          <w:i/>
          <w:iCs/>
        </w:rPr>
        <w:t>euro</w:t>
      </w:r>
      <w:proofErr w:type="spellEnd"/>
      <w:r>
        <w:rPr>
          <w:i/>
          <w:iCs/>
        </w:rPr>
        <w:t xml:space="preserve">; </w:t>
      </w:r>
    </w:p>
    <w:p w14:paraId="1863188D" w14:textId="77777777" w:rsidR="003412A4" w:rsidRPr="00A811AB" w:rsidRDefault="003412A4" w:rsidP="003412A4">
      <w:pPr>
        <w:numPr>
          <w:ilvl w:val="0"/>
          <w:numId w:val="10"/>
        </w:numPr>
        <w:jc w:val="both"/>
      </w:pPr>
      <w:r>
        <w:t xml:space="preserve">precizēti izdevumi energoefektivitātes projektiem kopā par -168 488 </w:t>
      </w:r>
      <w:proofErr w:type="spellStart"/>
      <w:r w:rsidRPr="00A811AB">
        <w:rPr>
          <w:i/>
          <w:iCs/>
        </w:rPr>
        <w:t>euro</w:t>
      </w:r>
      <w:proofErr w:type="spellEnd"/>
      <w:r>
        <w:rPr>
          <w:i/>
          <w:iCs/>
        </w:rPr>
        <w:t>.</w:t>
      </w:r>
    </w:p>
    <w:p w14:paraId="2CB1964A" w14:textId="77777777" w:rsidR="003412A4" w:rsidRPr="00A811AB" w:rsidRDefault="003412A4" w:rsidP="003412A4">
      <w:pPr>
        <w:ind w:left="720"/>
        <w:jc w:val="both"/>
      </w:pPr>
    </w:p>
    <w:p w14:paraId="33DF7026" w14:textId="77777777" w:rsidR="003412A4" w:rsidRDefault="003412A4" w:rsidP="003412A4">
      <w:pPr>
        <w:jc w:val="both"/>
      </w:pPr>
      <w:r w:rsidRPr="00A811AB">
        <w:rPr>
          <w:b/>
          <w:bCs/>
        </w:rPr>
        <w:t xml:space="preserve">07.000 Veselība </w:t>
      </w:r>
      <w:r>
        <w:rPr>
          <w:b/>
          <w:bCs/>
        </w:rPr>
        <w:t>–</w:t>
      </w:r>
      <w:r>
        <w:t xml:space="preserve">izdevumi samazināti par -50 000 </w:t>
      </w:r>
      <w:proofErr w:type="spellStart"/>
      <w:r>
        <w:t>euro</w:t>
      </w:r>
      <w:proofErr w:type="spellEnd"/>
      <w:r>
        <w:t xml:space="preserve"> saskaņā ar precizēto </w:t>
      </w:r>
      <w:r w:rsidRPr="00A811AB">
        <w:t>Nacionālā veselības dienesta</w:t>
      </w:r>
      <w:r>
        <w:t xml:space="preserve"> finansējumu ieņēmumu daļā.</w:t>
      </w:r>
    </w:p>
    <w:p w14:paraId="1DDE1E6D" w14:textId="77777777" w:rsidR="003412A4" w:rsidRPr="00A811AB" w:rsidRDefault="003412A4" w:rsidP="003412A4">
      <w:pPr>
        <w:jc w:val="both"/>
      </w:pPr>
    </w:p>
    <w:p w14:paraId="6D41ED0C" w14:textId="77777777" w:rsidR="003412A4" w:rsidRDefault="003412A4" w:rsidP="003412A4">
      <w:pPr>
        <w:jc w:val="both"/>
      </w:pPr>
      <w:r w:rsidRPr="00D942AC">
        <w:rPr>
          <w:b/>
          <w:bCs/>
        </w:rPr>
        <w:t>08.000 Atpūta, kultūra, reliģija</w:t>
      </w:r>
      <w:r>
        <w:t xml:space="preserve"> –  izdevumi samazināti par -29 152 </w:t>
      </w:r>
      <w:proofErr w:type="spellStart"/>
      <w:r w:rsidRPr="005B4BCA">
        <w:rPr>
          <w:i/>
          <w:iCs/>
        </w:rPr>
        <w:t>euro</w:t>
      </w:r>
      <w:proofErr w:type="spellEnd"/>
      <w:r>
        <w:rPr>
          <w:i/>
          <w:iCs/>
        </w:rPr>
        <w:t xml:space="preserve">, </w:t>
      </w:r>
      <w:r>
        <w:t>tajā skaitā:</w:t>
      </w:r>
    </w:p>
    <w:p w14:paraId="152FE112" w14:textId="77777777" w:rsidR="003412A4" w:rsidRPr="00D90580" w:rsidRDefault="003412A4" w:rsidP="003412A4">
      <w:pPr>
        <w:numPr>
          <w:ilvl w:val="0"/>
          <w:numId w:val="12"/>
        </w:numPr>
        <w:jc w:val="both"/>
      </w:pPr>
      <w:r>
        <w:t xml:space="preserve">Ķekavas novada sporta aģentūrai par -21 000  </w:t>
      </w:r>
      <w:proofErr w:type="spellStart"/>
      <w:r w:rsidRPr="005B4BCA">
        <w:rPr>
          <w:i/>
          <w:iCs/>
        </w:rPr>
        <w:t>euro</w:t>
      </w:r>
      <w:proofErr w:type="spellEnd"/>
      <w:r>
        <w:rPr>
          <w:i/>
          <w:iCs/>
        </w:rPr>
        <w:t xml:space="preserve">, </w:t>
      </w:r>
      <w:r>
        <w:t>pārvirzot līdzekļus par bortu iegādi uz Baldones sporta kompleksa budžeta tāmi saskaņā ar iestādes reorganizāciju;</w:t>
      </w:r>
    </w:p>
    <w:p w14:paraId="68DA1ED1" w14:textId="77777777" w:rsidR="003412A4" w:rsidRPr="00D90580" w:rsidRDefault="003412A4" w:rsidP="003412A4">
      <w:pPr>
        <w:numPr>
          <w:ilvl w:val="0"/>
          <w:numId w:val="12"/>
        </w:numPr>
        <w:jc w:val="both"/>
      </w:pPr>
      <w:r>
        <w:t xml:space="preserve">Daugmales kultūras centram par – 9073 </w:t>
      </w:r>
      <w:proofErr w:type="spellStart"/>
      <w:r w:rsidRPr="00E13026">
        <w:rPr>
          <w:i/>
          <w:iCs/>
        </w:rPr>
        <w:t>eur</w:t>
      </w:r>
      <w:r>
        <w:rPr>
          <w:i/>
          <w:iCs/>
        </w:rPr>
        <w:t>o</w:t>
      </w:r>
      <w:proofErr w:type="spellEnd"/>
      <w:r>
        <w:rPr>
          <w:i/>
          <w:iCs/>
        </w:rPr>
        <w:t xml:space="preserve">, </w:t>
      </w:r>
      <w:r w:rsidRPr="00E13026">
        <w:t>pārvirzot</w:t>
      </w:r>
      <w:r>
        <w:t xml:space="preserve"> atlīdzības</w:t>
      </w:r>
      <w:r>
        <w:rPr>
          <w:i/>
          <w:iCs/>
        </w:rPr>
        <w:t xml:space="preserve"> </w:t>
      </w:r>
      <w:r>
        <w:t>finansējumu uz Izglītības, kultūras un sporta pārvaldes budžeta tāmi par kultūras centra vadītāja pienākumu pildīšanu;</w:t>
      </w:r>
    </w:p>
    <w:p w14:paraId="12DD295F" w14:textId="77777777" w:rsidR="003412A4" w:rsidRPr="005B4BCA" w:rsidRDefault="003412A4" w:rsidP="003412A4">
      <w:pPr>
        <w:jc w:val="both"/>
      </w:pPr>
    </w:p>
    <w:p w14:paraId="4988D523" w14:textId="77777777" w:rsidR="003412A4" w:rsidRDefault="003412A4" w:rsidP="003412A4">
      <w:pPr>
        <w:jc w:val="both"/>
      </w:pPr>
      <w:r w:rsidRPr="00D942FC">
        <w:rPr>
          <w:b/>
          <w:bCs/>
        </w:rPr>
        <w:t>09.000 Izglītība</w:t>
      </w:r>
      <w:r>
        <w:rPr>
          <w:b/>
          <w:bCs/>
        </w:rPr>
        <w:t xml:space="preserve"> – </w:t>
      </w:r>
      <w:r>
        <w:t xml:space="preserve">izdevumi palielināti  par  119 172 </w:t>
      </w:r>
      <w:proofErr w:type="spellStart"/>
      <w:r w:rsidRPr="00FA3214">
        <w:rPr>
          <w:i/>
          <w:iCs/>
        </w:rPr>
        <w:t>euro</w:t>
      </w:r>
      <w:proofErr w:type="spellEnd"/>
      <w:r>
        <w:t xml:space="preserve">, iestādēm pamatā precizējot  valsts mērķdotāciju un projektu finansējumus. Precizēta arī  valsts mērķdotācija brīvpusdienām par 64 967 </w:t>
      </w:r>
      <w:proofErr w:type="spellStart"/>
      <w:r w:rsidRPr="00684AF2">
        <w:rPr>
          <w:i/>
          <w:iCs/>
        </w:rPr>
        <w:t>euro</w:t>
      </w:r>
      <w:proofErr w:type="spellEnd"/>
      <w:r>
        <w:t>.</w:t>
      </w:r>
    </w:p>
    <w:p w14:paraId="21657F53" w14:textId="77777777" w:rsidR="003412A4" w:rsidRDefault="003412A4" w:rsidP="003412A4">
      <w:pPr>
        <w:jc w:val="both"/>
      </w:pPr>
    </w:p>
    <w:p w14:paraId="4DD2644D" w14:textId="77777777" w:rsidR="003412A4" w:rsidRDefault="003412A4" w:rsidP="003412A4">
      <w:pPr>
        <w:jc w:val="both"/>
      </w:pPr>
    </w:p>
    <w:p w14:paraId="1B5EACF3" w14:textId="77777777" w:rsidR="003412A4" w:rsidRDefault="003412A4" w:rsidP="003412A4">
      <w:pPr>
        <w:jc w:val="both"/>
      </w:pPr>
      <w:r w:rsidRPr="00A43EA7">
        <w:rPr>
          <w:b/>
          <w:bCs/>
        </w:rPr>
        <w:t>10.000 Sociālā aizsardzība</w:t>
      </w:r>
      <w:r>
        <w:t xml:space="preserve"> –izdevumi palielināti par – 27 285 </w:t>
      </w:r>
      <w:proofErr w:type="spellStart"/>
      <w:r w:rsidRPr="00FA3214">
        <w:rPr>
          <w:i/>
          <w:iCs/>
        </w:rPr>
        <w:t>euro</w:t>
      </w:r>
      <w:proofErr w:type="spellEnd"/>
      <w:r>
        <w:t xml:space="preserve">, tajā skaitā </w:t>
      </w:r>
    </w:p>
    <w:p w14:paraId="1A1DAAFD" w14:textId="77777777" w:rsidR="003412A4" w:rsidRDefault="003412A4" w:rsidP="003412A4">
      <w:pPr>
        <w:jc w:val="both"/>
      </w:pPr>
      <w:r>
        <w:tab/>
      </w:r>
    </w:p>
    <w:p w14:paraId="7F357509" w14:textId="77777777" w:rsidR="003412A4" w:rsidRPr="00065533" w:rsidRDefault="003412A4" w:rsidP="003412A4">
      <w:pPr>
        <w:numPr>
          <w:ilvl w:val="0"/>
          <w:numId w:val="11"/>
        </w:numPr>
        <w:jc w:val="both"/>
      </w:pPr>
      <w:r>
        <w:t xml:space="preserve">Precizēta </w:t>
      </w:r>
      <w:r w:rsidRPr="002F7122">
        <w:t xml:space="preserve">Ukrainas civiliedzīvotāju </w:t>
      </w:r>
      <w:r>
        <w:t xml:space="preserve">bērnu nometņu dotācija par –2715 </w:t>
      </w:r>
      <w:proofErr w:type="spellStart"/>
      <w:r w:rsidRPr="00065533">
        <w:rPr>
          <w:i/>
          <w:iCs/>
        </w:rPr>
        <w:t>euro</w:t>
      </w:r>
      <w:proofErr w:type="spellEnd"/>
      <w:r>
        <w:rPr>
          <w:i/>
          <w:iCs/>
        </w:rPr>
        <w:t>;</w:t>
      </w:r>
    </w:p>
    <w:p w14:paraId="40D7E543" w14:textId="77777777" w:rsidR="003412A4" w:rsidRPr="00D550D3" w:rsidRDefault="003412A4" w:rsidP="003412A4">
      <w:pPr>
        <w:numPr>
          <w:ilvl w:val="0"/>
          <w:numId w:val="11"/>
        </w:numPr>
        <w:jc w:val="both"/>
      </w:pPr>
      <w:r w:rsidRPr="00065533">
        <w:t xml:space="preserve">Palielināts </w:t>
      </w:r>
      <w:r>
        <w:t>ieņēmumu un izdevumu plāns</w:t>
      </w:r>
      <w:r w:rsidRPr="00065533">
        <w:t xml:space="preserve"> </w:t>
      </w:r>
      <w:proofErr w:type="spellStart"/>
      <w:r w:rsidRPr="00065533">
        <w:t>deinstitucionalizācijas</w:t>
      </w:r>
      <w:proofErr w:type="spellEnd"/>
      <w:r w:rsidRPr="00065533">
        <w:t xml:space="preserve"> projektam saskaņā ar faktisko izpildi par 30 000</w:t>
      </w:r>
      <w:r>
        <w:rPr>
          <w:i/>
          <w:iCs/>
        </w:rPr>
        <w:t xml:space="preserve"> </w:t>
      </w:r>
      <w:proofErr w:type="spellStart"/>
      <w:r>
        <w:rPr>
          <w:i/>
          <w:iCs/>
        </w:rPr>
        <w:t>euro</w:t>
      </w:r>
      <w:proofErr w:type="spellEnd"/>
      <w:r>
        <w:rPr>
          <w:i/>
          <w:iCs/>
        </w:rPr>
        <w:t>.</w:t>
      </w:r>
    </w:p>
    <w:p w14:paraId="35831315" w14:textId="77777777" w:rsidR="003412A4" w:rsidRPr="008140C0" w:rsidRDefault="003412A4" w:rsidP="003412A4">
      <w:pPr>
        <w:ind w:left="720"/>
        <w:jc w:val="both"/>
      </w:pPr>
    </w:p>
    <w:p w14:paraId="007FDB02" w14:textId="77777777" w:rsidR="003412A4" w:rsidRDefault="003412A4" w:rsidP="003412A4">
      <w:pPr>
        <w:jc w:val="center"/>
        <w:rPr>
          <w:b/>
          <w:bCs/>
          <w:caps/>
          <w:sz w:val="28"/>
          <w:szCs w:val="28"/>
        </w:rPr>
      </w:pPr>
    </w:p>
    <w:p w14:paraId="44018F0D" w14:textId="77777777" w:rsidR="003412A4" w:rsidRPr="00E91778" w:rsidRDefault="003412A4" w:rsidP="003412A4">
      <w:pPr>
        <w:jc w:val="center"/>
        <w:rPr>
          <w:b/>
          <w:bCs/>
          <w:caps/>
        </w:rPr>
      </w:pPr>
      <w:r>
        <w:rPr>
          <w:b/>
          <w:bCs/>
          <w:caps/>
        </w:rPr>
        <w:t>FINANSĒŠANA</w:t>
      </w:r>
    </w:p>
    <w:p w14:paraId="0AD9CFD3" w14:textId="77777777" w:rsidR="003412A4" w:rsidRPr="00E91778" w:rsidRDefault="003412A4" w:rsidP="003412A4">
      <w:pPr>
        <w:jc w:val="both"/>
      </w:pPr>
    </w:p>
    <w:p w14:paraId="61069862" w14:textId="77777777" w:rsidR="003412A4" w:rsidRPr="005735F9" w:rsidRDefault="003412A4" w:rsidP="003412A4">
      <w:pPr>
        <w:ind w:firstLine="360"/>
        <w:jc w:val="both"/>
      </w:pPr>
      <w:r>
        <w:t xml:space="preserve">Precizēta aizņēmumu pamatsummas atmaksa no dotācijas autoceļiem par 132 </w:t>
      </w:r>
      <w:proofErr w:type="spellStart"/>
      <w:r w:rsidRPr="005C30CA">
        <w:rPr>
          <w:i/>
          <w:iCs/>
        </w:rPr>
        <w:t>euro</w:t>
      </w:r>
      <w:proofErr w:type="spellEnd"/>
      <w:r>
        <w:t xml:space="preserve">, precizēts aizņēmums PII Ieviņa energoefektivitātes </w:t>
      </w:r>
      <w:proofErr w:type="spellStart"/>
      <w:r>
        <w:t>priekšfinansējumam</w:t>
      </w:r>
      <w:proofErr w:type="spellEnd"/>
      <w:r>
        <w:t xml:space="preserve"> un pašvaldības līdzfinansējumam -210 538 </w:t>
      </w:r>
      <w:proofErr w:type="spellStart"/>
      <w:r w:rsidRPr="005C30CA">
        <w:rPr>
          <w:i/>
          <w:iCs/>
        </w:rPr>
        <w:t>euro</w:t>
      </w:r>
      <w:proofErr w:type="spellEnd"/>
      <w:r>
        <w:rPr>
          <w:i/>
          <w:iCs/>
        </w:rPr>
        <w:t xml:space="preserve"> </w:t>
      </w:r>
      <w:r w:rsidRPr="00684AF2">
        <w:t>apmērā</w:t>
      </w:r>
      <w:r>
        <w:t>, paredzot tos no pašvaldības budžeta līdzekļiem.</w:t>
      </w:r>
    </w:p>
    <w:p w14:paraId="5510D36C" w14:textId="77777777" w:rsidR="003412A4" w:rsidRDefault="003412A4" w:rsidP="003412A4">
      <w:pPr>
        <w:ind w:firstLine="360"/>
        <w:jc w:val="both"/>
      </w:pPr>
    </w:p>
    <w:p w14:paraId="018BBEB0" w14:textId="77777777" w:rsidR="003412A4" w:rsidRPr="001907CB" w:rsidRDefault="003412A4" w:rsidP="003412A4">
      <w:pPr>
        <w:jc w:val="both"/>
        <w:rPr>
          <w:b/>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B5BAEFE" w14:textId="1FCAE9C0" w:rsidR="001356D7" w:rsidRDefault="003412A4" w:rsidP="001356D7">
      <w:pPr>
        <w:overflowPunct w:val="0"/>
        <w:autoSpaceDE w:val="0"/>
        <w:autoSpaceDN w:val="0"/>
        <w:adjustRightInd w:val="0"/>
        <w:textAlignment w:val="baseline"/>
        <w:rPr>
          <w:rFonts w:eastAsia="Times New Roman"/>
          <w:szCs w:val="24"/>
        </w:rPr>
      </w:pPr>
      <w:r>
        <w:rPr>
          <w:rFonts w:eastAsia="Times New Roman"/>
          <w:szCs w:val="24"/>
        </w:rPr>
        <w:t>Domes priekšsēdētājs</w:t>
      </w:r>
      <w:r w:rsidR="001356D7">
        <w:rPr>
          <w:rFonts w:eastAsia="Times New Roman"/>
          <w:szCs w:val="24"/>
        </w:rPr>
        <w:t>:</w:t>
      </w:r>
      <w:r w:rsidR="001356D7">
        <w:rPr>
          <w:rFonts w:eastAsia="Times New Roman"/>
          <w:szCs w:val="24"/>
        </w:rPr>
        <w:tab/>
        <w:t xml:space="preserve">            (*PARAKSTS)          </w:t>
      </w:r>
      <w:r w:rsidR="009B4450">
        <w:rPr>
          <w:rFonts w:eastAsia="Times New Roman"/>
          <w:szCs w:val="24"/>
        </w:rPr>
        <w:t xml:space="preserve">Juris </w:t>
      </w:r>
      <w:proofErr w:type="spellStart"/>
      <w:r w:rsidR="00C21725">
        <w:rPr>
          <w:rFonts w:eastAsia="Times New Roman"/>
          <w:szCs w:val="24"/>
        </w:rPr>
        <w:t>Ž</w:t>
      </w:r>
      <w:r w:rsidR="009B4450">
        <w:rPr>
          <w:rFonts w:eastAsia="Times New Roman"/>
          <w:szCs w:val="24"/>
        </w:rPr>
        <w:t>ilko</w:t>
      </w:r>
      <w:proofErr w:type="spellEnd"/>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8"/>
      <w:footerReference w:type="default" r:id="rId9"/>
      <w:headerReference w:type="first" r:id="rId10"/>
      <w:footerReference w:type="first" r:id="rId1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7A90" w14:textId="77777777" w:rsidR="00147BED" w:rsidRDefault="00147BED" w:rsidP="001D793B">
      <w:r>
        <w:separator/>
      </w:r>
    </w:p>
  </w:endnote>
  <w:endnote w:type="continuationSeparator" w:id="0">
    <w:p w14:paraId="223E7C77" w14:textId="77777777" w:rsidR="00147BED" w:rsidRDefault="00147BED"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1"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12FD" w14:textId="77777777" w:rsidR="00147BED" w:rsidRDefault="00147BED" w:rsidP="001D793B">
      <w:r>
        <w:separator/>
      </w:r>
    </w:p>
  </w:footnote>
  <w:footnote w:type="continuationSeparator" w:id="0">
    <w:p w14:paraId="28239158" w14:textId="77777777" w:rsidR="00147BED" w:rsidRDefault="00147BED"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9E072C"/>
    <w:multiLevelType w:val="hybridMultilevel"/>
    <w:tmpl w:val="8F4AAE36"/>
    <w:lvl w:ilvl="0" w:tplc="FFFFFFFF">
      <w:start w:val="1"/>
      <w:numFmt w:val="bullet"/>
      <w:lvlText w:val="-"/>
      <w:lvlJc w:val="left"/>
      <w:pPr>
        <w:ind w:left="1080" w:hanging="360"/>
      </w:pPr>
      <w:rPr>
        <w:rFonts w:ascii="Verdana" w:hAnsi="Verdana"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0B44191"/>
    <w:multiLevelType w:val="hybridMultilevel"/>
    <w:tmpl w:val="3F224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335F9E"/>
    <w:multiLevelType w:val="hybridMultilevel"/>
    <w:tmpl w:val="6AF0E1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1">
    <w:nsid w:val="2C8D5266"/>
    <w:multiLevelType w:val="multilevel"/>
    <w:tmpl w:val="0426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7021296"/>
    <w:multiLevelType w:val="multilevel"/>
    <w:tmpl w:val="4B240AE4"/>
    <w:lvl w:ilvl="0">
      <w:start w:val="6"/>
      <w:numFmt w:val="decimal"/>
      <w:lvlText w:val="%1."/>
      <w:lvlJc w:val="left"/>
      <w:pPr>
        <w:ind w:left="660" w:hanging="660"/>
      </w:pPr>
      <w:rPr>
        <w:rFonts w:hint="default"/>
      </w:rPr>
    </w:lvl>
    <w:lvl w:ilvl="1">
      <w:start w:val="13"/>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99C535F"/>
    <w:multiLevelType w:val="multilevel"/>
    <w:tmpl w:val="637860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3DE964E7"/>
    <w:multiLevelType w:val="multilevel"/>
    <w:tmpl w:val="471C7C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val="0"/>
        <w:i w:val="0"/>
      </w:rPr>
    </w:lvl>
    <w:lvl w:ilvl="2">
      <w:start w:val="1"/>
      <w:numFmt w:val="decimal"/>
      <w:isLgl/>
      <w:lvlText w:val="%1.%2.%3."/>
      <w:lvlJc w:val="left"/>
      <w:pPr>
        <w:tabs>
          <w:tab w:val="num" w:pos="1855"/>
        </w:tabs>
        <w:ind w:left="1855" w:hanging="720"/>
      </w:pPr>
      <w:rPr>
        <w:rFonts w:hint="default"/>
        <w:i w:val="0"/>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F3569D1"/>
    <w:multiLevelType w:val="hybridMultilevel"/>
    <w:tmpl w:val="F96E950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507" w:hanging="360"/>
      </w:pPr>
      <w:rPr>
        <w:rFonts w:ascii="Symbol" w:hAnsi="Symbol" w:hint="default"/>
      </w:rPr>
    </w:lvl>
    <w:lvl w:ilvl="2" w:tplc="0426000D">
      <w:start w:val="1"/>
      <w:numFmt w:val="bullet"/>
      <w:lvlText w:val=""/>
      <w:lvlJc w:val="left"/>
      <w:pPr>
        <w:ind w:left="1507"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1A117D"/>
    <w:multiLevelType w:val="multilevel"/>
    <w:tmpl w:val="442CD136"/>
    <w:lvl w:ilvl="0">
      <w:start w:val="4"/>
      <w:numFmt w:val="decimalZero"/>
      <w:lvlText w:val="%1.0"/>
      <w:lvlJc w:val="left"/>
      <w:pPr>
        <w:ind w:left="660" w:hanging="660"/>
      </w:pPr>
      <w:rPr>
        <w:rFonts w:hint="default"/>
        <w:b/>
      </w:rPr>
    </w:lvl>
    <w:lvl w:ilvl="1">
      <w:start w:val="1"/>
      <w:numFmt w:val="decimalZero"/>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558D42DD"/>
    <w:multiLevelType w:val="hybridMultilevel"/>
    <w:tmpl w:val="452E666E"/>
    <w:lvl w:ilvl="0" w:tplc="04260001">
      <w:start w:val="1"/>
      <w:numFmt w:val="bullet"/>
      <w:lvlText w:val=""/>
      <w:lvlJc w:val="left"/>
      <w:pPr>
        <w:ind w:left="787" w:hanging="360"/>
      </w:pPr>
      <w:rPr>
        <w:rFonts w:ascii="Symbol" w:hAnsi="Symbol" w:hint="default"/>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0" w15:restartNumberingAfterBreak="0">
    <w:nsid w:val="55C118C4"/>
    <w:multiLevelType w:val="hybridMultilevel"/>
    <w:tmpl w:val="9C66798A"/>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11" w15:restartNumberingAfterBreak="0">
    <w:nsid w:val="64A42E21"/>
    <w:multiLevelType w:val="hybridMultilevel"/>
    <w:tmpl w:val="7B561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313DC3"/>
    <w:multiLevelType w:val="hybridMultilevel"/>
    <w:tmpl w:val="53D0B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703501F1"/>
    <w:multiLevelType w:val="multilevel"/>
    <w:tmpl w:val="F1BC55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1650937">
    <w:abstractNumId w:val="13"/>
  </w:num>
  <w:num w:numId="2" w16cid:durableId="2122138272">
    <w:abstractNumId w:val="3"/>
  </w:num>
  <w:num w:numId="3" w16cid:durableId="754975808">
    <w:abstractNumId w:val="0"/>
  </w:num>
  <w:num w:numId="4" w16cid:durableId="971982660">
    <w:abstractNumId w:val="6"/>
  </w:num>
  <w:num w:numId="5" w16cid:durableId="1969965241">
    <w:abstractNumId w:val="5"/>
  </w:num>
  <w:num w:numId="6" w16cid:durableId="645814243">
    <w:abstractNumId w:val="4"/>
  </w:num>
  <w:num w:numId="7" w16cid:durableId="306786615">
    <w:abstractNumId w:val="10"/>
  </w:num>
  <w:num w:numId="8" w16cid:durableId="1504390834">
    <w:abstractNumId w:val="2"/>
  </w:num>
  <w:num w:numId="9" w16cid:durableId="481310459">
    <w:abstractNumId w:val="1"/>
  </w:num>
  <w:num w:numId="10" w16cid:durableId="1914268377">
    <w:abstractNumId w:val="7"/>
  </w:num>
  <w:num w:numId="11" w16cid:durableId="1434864937">
    <w:abstractNumId w:val="11"/>
  </w:num>
  <w:num w:numId="12" w16cid:durableId="1429157108">
    <w:abstractNumId w:val="12"/>
  </w:num>
  <w:num w:numId="13" w16cid:durableId="878325505">
    <w:abstractNumId w:val="9"/>
  </w:num>
  <w:num w:numId="14" w16cid:durableId="510800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A537F"/>
    <w:rsid w:val="000C1C2B"/>
    <w:rsid w:val="000E6E28"/>
    <w:rsid w:val="000F33BA"/>
    <w:rsid w:val="00107595"/>
    <w:rsid w:val="00111FEF"/>
    <w:rsid w:val="001271E9"/>
    <w:rsid w:val="001356D7"/>
    <w:rsid w:val="00140052"/>
    <w:rsid w:val="00147BED"/>
    <w:rsid w:val="001537E8"/>
    <w:rsid w:val="00161C35"/>
    <w:rsid w:val="00165E9E"/>
    <w:rsid w:val="001759D6"/>
    <w:rsid w:val="00177C26"/>
    <w:rsid w:val="001915A5"/>
    <w:rsid w:val="00192A81"/>
    <w:rsid w:val="001A59FD"/>
    <w:rsid w:val="001B221C"/>
    <w:rsid w:val="001B4A12"/>
    <w:rsid w:val="001C504B"/>
    <w:rsid w:val="001C6373"/>
    <w:rsid w:val="001C6B68"/>
    <w:rsid w:val="001D0DC0"/>
    <w:rsid w:val="001D2822"/>
    <w:rsid w:val="001D3CB8"/>
    <w:rsid w:val="001D4F71"/>
    <w:rsid w:val="001D4F86"/>
    <w:rsid w:val="001D793B"/>
    <w:rsid w:val="001E3FDA"/>
    <w:rsid w:val="001E43F7"/>
    <w:rsid w:val="0020665C"/>
    <w:rsid w:val="0023134C"/>
    <w:rsid w:val="00234071"/>
    <w:rsid w:val="0023672E"/>
    <w:rsid w:val="00236C03"/>
    <w:rsid w:val="002434C7"/>
    <w:rsid w:val="002478FD"/>
    <w:rsid w:val="00261C4A"/>
    <w:rsid w:val="0026379B"/>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2A4"/>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4469D"/>
    <w:rsid w:val="00553415"/>
    <w:rsid w:val="00560DA0"/>
    <w:rsid w:val="0056775F"/>
    <w:rsid w:val="00574020"/>
    <w:rsid w:val="00575B5D"/>
    <w:rsid w:val="00577441"/>
    <w:rsid w:val="00581E01"/>
    <w:rsid w:val="005858D8"/>
    <w:rsid w:val="0059457F"/>
    <w:rsid w:val="005A6A12"/>
    <w:rsid w:val="005C5216"/>
    <w:rsid w:val="005D0252"/>
    <w:rsid w:val="005D0E26"/>
    <w:rsid w:val="005D32CD"/>
    <w:rsid w:val="005D7B3D"/>
    <w:rsid w:val="005E0ADE"/>
    <w:rsid w:val="005E1CAD"/>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C7C80"/>
    <w:rsid w:val="006D76B7"/>
    <w:rsid w:val="006E1140"/>
    <w:rsid w:val="006F0F71"/>
    <w:rsid w:val="006F6AB5"/>
    <w:rsid w:val="0070151F"/>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1131A"/>
    <w:rsid w:val="00820A37"/>
    <w:rsid w:val="00853092"/>
    <w:rsid w:val="008573AE"/>
    <w:rsid w:val="00880EB5"/>
    <w:rsid w:val="0088317A"/>
    <w:rsid w:val="00892CCA"/>
    <w:rsid w:val="008B28B0"/>
    <w:rsid w:val="008B453B"/>
    <w:rsid w:val="008C019E"/>
    <w:rsid w:val="008C13CD"/>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4450"/>
    <w:rsid w:val="009B505C"/>
    <w:rsid w:val="009B5A37"/>
    <w:rsid w:val="009C11A8"/>
    <w:rsid w:val="009D314B"/>
    <w:rsid w:val="009E3EA2"/>
    <w:rsid w:val="009E5927"/>
    <w:rsid w:val="009E7CCA"/>
    <w:rsid w:val="009F5861"/>
    <w:rsid w:val="00A0164B"/>
    <w:rsid w:val="00A0623D"/>
    <w:rsid w:val="00A117C5"/>
    <w:rsid w:val="00A143EA"/>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637BA"/>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475"/>
    <w:rsid w:val="00C16A5E"/>
    <w:rsid w:val="00C21725"/>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D7B5B"/>
    <w:rsid w:val="00CE0D2D"/>
    <w:rsid w:val="00CE76A1"/>
    <w:rsid w:val="00CF1BE2"/>
    <w:rsid w:val="00D04EC3"/>
    <w:rsid w:val="00D065E8"/>
    <w:rsid w:val="00D1003B"/>
    <w:rsid w:val="00D224B7"/>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B42CE"/>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94B7D"/>
    <w:rsid w:val="00FA159A"/>
    <w:rsid w:val="00FA1EC6"/>
    <w:rsid w:val="00FB15DD"/>
    <w:rsid w:val="00FB6320"/>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paragraph" w:styleId="Heading3">
    <w:name w:val="heading 3"/>
    <w:basedOn w:val="Normal"/>
    <w:next w:val="Normal"/>
    <w:link w:val="Heading3Char"/>
    <w:unhideWhenUsed/>
    <w:qFormat/>
    <w:rsid w:val="00F94B7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nhideWhenUsed/>
    <w:rsid w:val="001D793B"/>
    <w:pPr>
      <w:tabs>
        <w:tab w:val="center" w:pos="4153"/>
        <w:tab w:val="right" w:pos="8306"/>
      </w:tabs>
    </w:pPr>
  </w:style>
  <w:style w:type="character" w:customStyle="1" w:styleId="HeaderChar">
    <w:name w:val="Header Char"/>
    <w:basedOn w:val="DefaultParagraphFont"/>
    <w:link w:val="Header"/>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nhideWhenUsed/>
    <w:rsid w:val="001D793B"/>
    <w:rPr>
      <w:rFonts w:ascii="Tahoma" w:hAnsi="Tahoma" w:cs="Tahoma"/>
      <w:sz w:val="16"/>
      <w:szCs w:val="16"/>
    </w:rPr>
  </w:style>
  <w:style w:type="character" w:customStyle="1" w:styleId="BalloonTextChar">
    <w:name w:val="Balloon Text Char"/>
    <w:link w:val="BalloonText"/>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character" w:customStyle="1" w:styleId="Heading3Char">
    <w:name w:val="Heading 3 Char"/>
    <w:basedOn w:val="DefaultParagraphFont"/>
    <w:link w:val="Heading3"/>
    <w:rsid w:val="00F94B7D"/>
    <w:rPr>
      <w:rFonts w:asciiTheme="majorHAnsi" w:eastAsiaTheme="majorEastAsia" w:hAnsiTheme="majorHAnsi" w:cstheme="majorBidi"/>
      <w:color w:val="243F60" w:themeColor="accent1" w:themeShade="7F"/>
      <w:sz w:val="24"/>
      <w:szCs w:val="24"/>
      <w:lang w:eastAsia="en-US"/>
    </w:rPr>
  </w:style>
  <w:style w:type="numbering" w:customStyle="1" w:styleId="NoList1">
    <w:name w:val="No List1"/>
    <w:next w:val="NoList"/>
    <w:semiHidden/>
    <w:rsid w:val="00F94B7D"/>
  </w:style>
  <w:style w:type="paragraph" w:customStyle="1" w:styleId="CharCharRakstzRakstzCharCharRakstzRakstz1">
    <w:name w:val="Char Char Rakstz. Rakstz. Char Char Rakstz. Rakstz."/>
    <w:basedOn w:val="Normal"/>
    <w:rsid w:val="00F94B7D"/>
    <w:pPr>
      <w:spacing w:before="120" w:after="160" w:line="240" w:lineRule="exact"/>
      <w:ind w:firstLine="720"/>
      <w:jc w:val="both"/>
    </w:pPr>
    <w:rPr>
      <w:rFonts w:ascii="Verdana" w:eastAsia="Times New Roman" w:hAnsi="Verdana"/>
      <w:sz w:val="20"/>
      <w:szCs w:val="24"/>
      <w:lang w:val="en-US"/>
    </w:rPr>
  </w:style>
  <w:style w:type="character" w:styleId="CommentReference">
    <w:name w:val="annotation reference"/>
    <w:rsid w:val="00F94B7D"/>
    <w:rPr>
      <w:sz w:val="16"/>
      <w:szCs w:val="16"/>
    </w:rPr>
  </w:style>
  <w:style w:type="paragraph" w:styleId="CommentText">
    <w:name w:val="annotation text"/>
    <w:basedOn w:val="Normal"/>
    <w:link w:val="CommentTextChar"/>
    <w:rsid w:val="00F94B7D"/>
    <w:pPr>
      <w:overflowPunct w:val="0"/>
      <w:autoSpaceDE w:val="0"/>
      <w:autoSpaceDN w:val="0"/>
      <w:adjustRightInd w:val="0"/>
      <w:textAlignment w:val="baseline"/>
    </w:pPr>
    <w:rPr>
      <w:rFonts w:eastAsia="Times New Roman"/>
      <w:sz w:val="20"/>
      <w:szCs w:val="20"/>
      <w:lang w:val="x-none"/>
    </w:rPr>
  </w:style>
  <w:style w:type="character" w:customStyle="1" w:styleId="CommentTextChar">
    <w:name w:val="Comment Text Char"/>
    <w:basedOn w:val="DefaultParagraphFont"/>
    <w:link w:val="CommentText"/>
    <w:rsid w:val="00F94B7D"/>
    <w:rPr>
      <w:rFonts w:eastAsia="Times New Roman"/>
      <w:lang w:val="x-none" w:eastAsia="en-US"/>
    </w:rPr>
  </w:style>
  <w:style w:type="paragraph" w:styleId="CommentSubject">
    <w:name w:val="annotation subject"/>
    <w:basedOn w:val="CommentText"/>
    <w:next w:val="CommentText"/>
    <w:link w:val="CommentSubjectChar"/>
    <w:rsid w:val="00F94B7D"/>
    <w:rPr>
      <w:b/>
      <w:bCs/>
    </w:rPr>
  </w:style>
  <w:style w:type="character" w:customStyle="1" w:styleId="CommentSubjectChar">
    <w:name w:val="Comment Subject Char"/>
    <w:basedOn w:val="CommentTextChar"/>
    <w:link w:val="CommentSubject"/>
    <w:rsid w:val="00F94B7D"/>
    <w:rPr>
      <w:rFonts w:eastAsia="Times New Roman"/>
      <w:b/>
      <w:bCs/>
      <w:lang w:val="x-none" w:eastAsia="en-US"/>
    </w:rPr>
  </w:style>
  <w:style w:type="character" w:styleId="UnresolvedMention">
    <w:name w:val="Unresolved Mention"/>
    <w:uiPriority w:val="99"/>
    <w:semiHidden/>
    <w:unhideWhenUsed/>
    <w:rsid w:val="00F94B7D"/>
    <w:rPr>
      <w:color w:val="605E5C"/>
      <w:shd w:val="clear" w:color="auto" w:fill="E1DFDD"/>
    </w:rPr>
  </w:style>
  <w:style w:type="character" w:customStyle="1" w:styleId="xbe">
    <w:name w:val="_xbe"/>
    <w:rsid w:val="00F94B7D"/>
  </w:style>
  <w:style w:type="character" w:customStyle="1" w:styleId="c1">
    <w:name w:val="c1"/>
    <w:basedOn w:val="DefaultParagraphFont"/>
    <w:rsid w:val="00F94B7D"/>
  </w:style>
  <w:style w:type="paragraph" w:styleId="Revision">
    <w:name w:val="Revision"/>
    <w:hidden/>
    <w:uiPriority w:val="99"/>
    <w:semiHidden/>
    <w:rsid w:val="00F94B7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453789449">
      <w:bodyDiv w:val="1"/>
      <w:marLeft w:val="0"/>
      <w:marRight w:val="0"/>
      <w:marTop w:val="0"/>
      <w:marBottom w:val="0"/>
      <w:divBdr>
        <w:top w:val="none" w:sz="0" w:space="0" w:color="auto"/>
        <w:left w:val="none" w:sz="0" w:space="0" w:color="auto"/>
        <w:bottom w:val="none" w:sz="0" w:space="0" w:color="auto"/>
        <w:right w:val="none" w:sz="0" w:space="0" w:color="auto"/>
      </w:divBdr>
    </w:div>
    <w:div w:id="516502176">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41348025">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2975</Words>
  <Characters>1697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Vija Milbrete</cp:lastModifiedBy>
  <cp:revision>2</cp:revision>
  <cp:lastPrinted>2016-12-06T06:12:00Z</cp:lastPrinted>
  <dcterms:created xsi:type="dcterms:W3CDTF">2023-12-18T15:49:00Z</dcterms:created>
  <dcterms:modified xsi:type="dcterms:W3CDTF">2023-12-18T15:49:00Z</dcterms:modified>
</cp:coreProperties>
</file>